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83A52" w14:textId="06922356" w:rsidR="0016472F" w:rsidRPr="0016472F" w:rsidRDefault="0016472F" w:rsidP="00572DC0">
      <w:pPr>
        <w:pStyle w:val="Prrafodelista"/>
        <w:spacing w:line="276" w:lineRule="auto"/>
        <w:ind w:left="0"/>
        <w:contextualSpacing/>
        <w:jc w:val="center"/>
        <w:rPr>
          <w:b/>
        </w:rPr>
      </w:pPr>
      <w:bookmarkStart w:id="0" w:name="AUNO"/>
      <w:bookmarkStart w:id="1" w:name="_Hlk140593129"/>
      <w:r w:rsidRPr="0016472F">
        <w:rPr>
          <w:b/>
        </w:rPr>
        <w:t xml:space="preserve">RESPUESTA A PREGUNTAS FORMULADAS </w:t>
      </w:r>
    </w:p>
    <w:bookmarkEnd w:id="0"/>
    <w:p w14:paraId="69E8C3AA" w14:textId="493F5046" w:rsidR="00572DC0" w:rsidRDefault="008B5BCD" w:rsidP="00581C19">
      <w:pPr>
        <w:tabs>
          <w:tab w:val="left" w:pos="3544"/>
        </w:tabs>
        <w:spacing w:line="276" w:lineRule="auto"/>
        <w:contextualSpacing/>
        <w:jc w:val="center"/>
        <w:rPr>
          <w:b/>
          <w:bCs/>
          <w:color w:val="000000"/>
        </w:rPr>
      </w:pPr>
      <w:r w:rsidRPr="00807E9C">
        <w:rPr>
          <w:b/>
          <w:bCs/>
          <w:color w:val="000000" w:themeColor="text1"/>
        </w:rPr>
        <w:t xml:space="preserve">CONTRATACIÓN </w:t>
      </w:r>
      <w:bookmarkStart w:id="2" w:name="_Hlk139985603"/>
      <w:r w:rsidRPr="00807E9C">
        <w:rPr>
          <w:b/>
          <w:bCs/>
          <w:color w:val="000000" w:themeColor="text1"/>
        </w:rPr>
        <w:t xml:space="preserve">CONSULTORIA </w:t>
      </w:r>
      <w:bookmarkEnd w:id="2"/>
      <w:r w:rsidR="00581C19" w:rsidRPr="00581C19">
        <w:rPr>
          <w:b/>
          <w:bCs/>
          <w:color w:val="000000"/>
        </w:rPr>
        <w:t>“DISEÑOS DE MICROCENTRALES HIDROELÉCTRICAS (MCH), TENDIENTE A INCENTIVAR INVERSIONES EN LA REGIÓN DE AYSÉN”</w:t>
      </w:r>
    </w:p>
    <w:p w14:paraId="1E4C2CED" w14:textId="77777777" w:rsidR="00D127D9" w:rsidRDefault="00D127D9" w:rsidP="00581C19">
      <w:pPr>
        <w:tabs>
          <w:tab w:val="left" w:pos="3544"/>
        </w:tabs>
        <w:spacing w:line="276" w:lineRule="auto"/>
        <w:contextualSpacing/>
        <w:jc w:val="center"/>
        <w:rPr>
          <w:b/>
          <w:bCs/>
        </w:rPr>
      </w:pPr>
    </w:p>
    <w:p w14:paraId="02B02B50" w14:textId="24ADC4BC" w:rsidR="00D127D9" w:rsidRPr="00D127D9" w:rsidRDefault="00D127D9" w:rsidP="00D127D9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 w:rsidRPr="009B727B">
        <w:rPr>
          <w:b/>
          <w:bCs/>
          <w:color w:val="000000"/>
          <w:sz w:val="20"/>
          <w:szCs w:val="20"/>
        </w:rPr>
        <w:t>Alcance Técnico y Nivel de Detalle</w:t>
      </w:r>
    </w:p>
    <w:p w14:paraId="5F3BA7F1" w14:textId="77777777" w:rsidR="00D127D9" w:rsidRDefault="00D127D9" w:rsidP="00D127D9">
      <w:pPr>
        <w:tabs>
          <w:tab w:val="left" w:pos="3544"/>
        </w:tabs>
        <w:spacing w:line="276" w:lineRule="auto"/>
        <w:contextualSpacing/>
        <w:rPr>
          <w:b/>
          <w:bCs/>
        </w:rPr>
      </w:pPr>
    </w:p>
    <w:p w14:paraId="38A816D9" w14:textId="77777777" w:rsidR="00D127D9" w:rsidRPr="00D127D9" w:rsidRDefault="00D127D9" w:rsidP="0099470D">
      <w:pPr>
        <w:pStyle w:val="Prrafodelista"/>
        <w:numPr>
          <w:ilvl w:val="0"/>
          <w:numId w:val="13"/>
        </w:numPr>
        <w:shd w:val="clear" w:color="auto" w:fill="FFFFFF"/>
        <w:spacing w:after="120"/>
        <w:ind w:left="360"/>
        <w:jc w:val="both"/>
        <w:rPr>
          <w:color w:val="000000"/>
          <w:sz w:val="20"/>
          <w:szCs w:val="20"/>
        </w:rPr>
      </w:pPr>
      <w:r w:rsidRPr="00D127D9">
        <w:rPr>
          <w:color w:val="222222"/>
          <w:sz w:val="20"/>
          <w:szCs w:val="20"/>
        </w:rPr>
        <w:t>¿Se espera que el estudio incluya simulaciones de operación bajo distintos escenarios de caudal y demanda?</w:t>
      </w:r>
    </w:p>
    <w:p w14:paraId="5F725005" w14:textId="48BF475B" w:rsidR="00CF694F" w:rsidRDefault="0099470D" w:rsidP="00DB3FE9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A459F4">
        <w:rPr>
          <w:color w:val="2F5496" w:themeColor="accent1" w:themeShade="BF"/>
          <w:sz w:val="20"/>
          <w:szCs w:val="20"/>
        </w:rPr>
        <w:t xml:space="preserve">La consultoría no considera </w:t>
      </w:r>
      <w:r w:rsidR="00841760" w:rsidRPr="00A459F4">
        <w:rPr>
          <w:color w:val="2F5496" w:themeColor="accent1" w:themeShade="BF"/>
          <w:sz w:val="20"/>
          <w:szCs w:val="20"/>
        </w:rPr>
        <w:t>simulaciones de operación bajo distintos escenarios.</w:t>
      </w:r>
    </w:p>
    <w:p w14:paraId="1A947CBB" w14:textId="27E1177E" w:rsidR="00D127D9" w:rsidRPr="00D127D9" w:rsidRDefault="00DB3FE9" w:rsidP="00CF694F">
      <w:pPr>
        <w:pStyle w:val="Prrafodelista"/>
        <w:numPr>
          <w:ilvl w:val="0"/>
          <w:numId w:val="13"/>
        </w:numPr>
        <w:shd w:val="clear" w:color="auto" w:fill="FFFFFF"/>
        <w:spacing w:after="120"/>
        <w:ind w:left="360"/>
        <w:jc w:val="both"/>
        <w:rPr>
          <w:color w:val="000000"/>
          <w:sz w:val="20"/>
          <w:szCs w:val="20"/>
        </w:rPr>
      </w:pPr>
      <w:r>
        <w:rPr>
          <w:color w:val="2F5496" w:themeColor="accent1" w:themeShade="BF"/>
          <w:sz w:val="20"/>
          <w:szCs w:val="20"/>
        </w:rPr>
        <w:t xml:space="preserve"> </w:t>
      </w:r>
      <w:r w:rsidR="00D127D9" w:rsidRPr="00D127D9">
        <w:rPr>
          <w:color w:val="222222"/>
          <w:sz w:val="20"/>
          <w:szCs w:val="20"/>
        </w:rPr>
        <w:t>¿Qué nivel de detalle se espera en el modelo de negocio? ¿Debe incluir análisis de sensibilidad financiera?</w:t>
      </w:r>
    </w:p>
    <w:p w14:paraId="0804DBA3" w14:textId="323B95B8" w:rsidR="00380A64" w:rsidRPr="00A459F4" w:rsidRDefault="00F501D6" w:rsidP="005C22A4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A459F4">
        <w:rPr>
          <w:color w:val="2F5496" w:themeColor="accent1" w:themeShade="BF"/>
          <w:sz w:val="20"/>
          <w:szCs w:val="20"/>
        </w:rPr>
        <w:t>El nivel de detalle debe permitir cumplir con las bases técnicas de licitación en su punto 4.3.</w:t>
      </w:r>
      <w:r w:rsidR="00080DB9" w:rsidRPr="00A459F4">
        <w:rPr>
          <w:color w:val="2F5496" w:themeColor="accent1" w:themeShade="BF"/>
          <w:sz w:val="20"/>
          <w:szCs w:val="20"/>
        </w:rPr>
        <w:t>2</w:t>
      </w:r>
      <w:r w:rsidR="00380A64" w:rsidRPr="00A459F4">
        <w:rPr>
          <w:color w:val="2F5496" w:themeColor="accent1" w:themeShade="BF"/>
          <w:sz w:val="20"/>
          <w:szCs w:val="20"/>
        </w:rPr>
        <w:t xml:space="preserve">, es decir, debe incluir </w:t>
      </w:r>
      <w:r w:rsidR="005C22A4" w:rsidRPr="00A459F4">
        <w:rPr>
          <w:color w:val="2F5496" w:themeColor="accent1" w:themeShade="BF"/>
          <w:sz w:val="20"/>
          <w:szCs w:val="20"/>
        </w:rPr>
        <w:t>e</w:t>
      </w:r>
      <w:r w:rsidR="00380A64" w:rsidRPr="00A459F4">
        <w:rPr>
          <w:color w:val="2F5496" w:themeColor="accent1" w:themeShade="BF"/>
          <w:sz w:val="20"/>
          <w:szCs w:val="20"/>
        </w:rPr>
        <w:t xml:space="preserve">structura de ingresos y costos, participación de beneficiarios, </w:t>
      </w:r>
      <w:r w:rsidR="00080DB9" w:rsidRPr="00A459F4">
        <w:rPr>
          <w:color w:val="2F5496" w:themeColor="accent1" w:themeShade="BF"/>
          <w:sz w:val="20"/>
          <w:szCs w:val="20"/>
        </w:rPr>
        <w:t xml:space="preserve">estrategia para el retorno de inversión. Si bien </w:t>
      </w:r>
      <w:r w:rsidR="00F56DFD" w:rsidRPr="00A459F4">
        <w:rPr>
          <w:color w:val="2F5496" w:themeColor="accent1" w:themeShade="BF"/>
          <w:sz w:val="20"/>
          <w:szCs w:val="20"/>
        </w:rPr>
        <w:t>no se exige</w:t>
      </w:r>
      <w:r w:rsidR="00BA7641" w:rsidRPr="00A459F4">
        <w:rPr>
          <w:color w:val="2F5496" w:themeColor="accent1" w:themeShade="BF"/>
          <w:sz w:val="20"/>
          <w:szCs w:val="20"/>
        </w:rPr>
        <w:t xml:space="preserve"> expresamente</w:t>
      </w:r>
      <w:r w:rsidR="00F56DFD" w:rsidRPr="00A459F4">
        <w:rPr>
          <w:color w:val="2F5496" w:themeColor="accent1" w:themeShade="BF"/>
          <w:sz w:val="20"/>
          <w:szCs w:val="20"/>
        </w:rPr>
        <w:t xml:space="preserve"> </w:t>
      </w:r>
      <w:r w:rsidR="00A02D90" w:rsidRPr="00A459F4">
        <w:rPr>
          <w:color w:val="2F5496" w:themeColor="accent1" w:themeShade="BF"/>
          <w:sz w:val="20"/>
          <w:szCs w:val="20"/>
        </w:rPr>
        <w:t xml:space="preserve">análisis de sensibilidad financiera, </w:t>
      </w:r>
      <w:r w:rsidR="00BA7641" w:rsidRPr="00A459F4">
        <w:rPr>
          <w:color w:val="2F5496" w:themeColor="accent1" w:themeShade="BF"/>
          <w:sz w:val="20"/>
          <w:szCs w:val="20"/>
        </w:rPr>
        <w:t xml:space="preserve">se hace necesario para validar el modelo propuesto. </w:t>
      </w:r>
    </w:p>
    <w:p w14:paraId="0F3EBB28" w14:textId="77777777" w:rsidR="00D127D9" w:rsidRDefault="00D127D9" w:rsidP="00125C2F">
      <w:pPr>
        <w:pStyle w:val="Prrafodelista"/>
        <w:numPr>
          <w:ilvl w:val="0"/>
          <w:numId w:val="13"/>
        </w:numPr>
        <w:shd w:val="clear" w:color="auto" w:fill="FFFFFF"/>
        <w:spacing w:after="120"/>
        <w:ind w:left="360"/>
        <w:jc w:val="both"/>
        <w:rPr>
          <w:color w:val="222222"/>
          <w:sz w:val="20"/>
          <w:szCs w:val="20"/>
        </w:rPr>
      </w:pPr>
      <w:r w:rsidRPr="00D127D9">
        <w:rPr>
          <w:color w:val="222222"/>
          <w:sz w:val="20"/>
          <w:szCs w:val="20"/>
        </w:rPr>
        <w:t>¿Se deben considerar propuestas de ubicación alternativa en caso de restricciones técnicas o sociales en los puntos definidos?</w:t>
      </w:r>
    </w:p>
    <w:p w14:paraId="492D13C5" w14:textId="11580FB9" w:rsidR="00123744" w:rsidRPr="00A459F4" w:rsidRDefault="00A7266D" w:rsidP="00A459F4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>
        <w:rPr>
          <w:color w:val="2F5496" w:themeColor="accent1" w:themeShade="BF"/>
          <w:sz w:val="20"/>
          <w:szCs w:val="20"/>
        </w:rPr>
        <w:t xml:space="preserve">Durante </w:t>
      </w:r>
      <w:r w:rsidR="00403279">
        <w:rPr>
          <w:color w:val="2F5496" w:themeColor="accent1" w:themeShade="BF"/>
          <w:sz w:val="20"/>
          <w:szCs w:val="20"/>
        </w:rPr>
        <w:t xml:space="preserve">la ejecución de la presente consultoría y </w:t>
      </w:r>
      <w:r w:rsidR="00193447">
        <w:rPr>
          <w:color w:val="2F5496" w:themeColor="accent1" w:themeShade="BF"/>
          <w:sz w:val="20"/>
          <w:szCs w:val="20"/>
        </w:rPr>
        <w:t>p</w:t>
      </w:r>
      <w:r w:rsidR="00E935FF" w:rsidRPr="00A459F4">
        <w:rPr>
          <w:color w:val="2F5496" w:themeColor="accent1" w:themeShade="BF"/>
          <w:sz w:val="20"/>
          <w:szCs w:val="20"/>
        </w:rPr>
        <w:t>revia aprobación de la contraparte técnica</w:t>
      </w:r>
      <w:r w:rsidR="00193447">
        <w:rPr>
          <w:color w:val="2F5496" w:themeColor="accent1" w:themeShade="BF"/>
          <w:sz w:val="20"/>
          <w:szCs w:val="20"/>
        </w:rPr>
        <w:t>, se pueden realizar modificaciones</w:t>
      </w:r>
      <w:r w:rsidR="00403279">
        <w:rPr>
          <w:color w:val="2F5496" w:themeColor="accent1" w:themeShade="BF"/>
          <w:sz w:val="20"/>
          <w:szCs w:val="20"/>
        </w:rPr>
        <w:t xml:space="preserve"> </w:t>
      </w:r>
      <w:r w:rsidR="00347043">
        <w:rPr>
          <w:color w:val="2F5496" w:themeColor="accent1" w:themeShade="BF"/>
          <w:sz w:val="20"/>
          <w:szCs w:val="20"/>
        </w:rPr>
        <w:t xml:space="preserve">y analizar una ubicación alternativa. </w:t>
      </w:r>
    </w:p>
    <w:p w14:paraId="20A45F51" w14:textId="77777777" w:rsidR="00E935FF" w:rsidRPr="00FF6578" w:rsidRDefault="00E935FF" w:rsidP="00FF6578">
      <w:pPr>
        <w:shd w:val="clear" w:color="auto" w:fill="FFFFFF"/>
        <w:jc w:val="both"/>
        <w:rPr>
          <w:color w:val="222222"/>
          <w:sz w:val="20"/>
          <w:szCs w:val="20"/>
        </w:rPr>
      </w:pPr>
    </w:p>
    <w:p w14:paraId="74F61C27" w14:textId="77777777" w:rsidR="00D127D9" w:rsidRDefault="00D127D9" w:rsidP="004B52D9">
      <w:pPr>
        <w:pStyle w:val="Prrafodelista"/>
        <w:numPr>
          <w:ilvl w:val="0"/>
          <w:numId w:val="13"/>
        </w:numPr>
        <w:spacing w:after="120"/>
        <w:ind w:left="360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Planos de ubicación general de los 3 proyectos</w:t>
      </w:r>
    </w:p>
    <w:p w14:paraId="331107FB" w14:textId="4E22446F" w:rsidR="00E935FF" w:rsidRPr="004B52D9" w:rsidRDefault="00FD37C2" w:rsidP="004B52D9">
      <w:pPr>
        <w:spacing w:after="120"/>
        <w:jc w:val="both"/>
        <w:rPr>
          <w:color w:val="2F5496" w:themeColor="accent1" w:themeShade="BF"/>
          <w:sz w:val="20"/>
          <w:szCs w:val="20"/>
        </w:rPr>
      </w:pPr>
      <w:proofErr w:type="gramStart"/>
      <w:r w:rsidRPr="004B52D9">
        <w:rPr>
          <w:color w:val="2F5496" w:themeColor="accent1" w:themeShade="BF"/>
          <w:sz w:val="20"/>
          <w:szCs w:val="20"/>
        </w:rPr>
        <w:t>De acuerdo al</w:t>
      </w:r>
      <w:proofErr w:type="gramEnd"/>
      <w:r w:rsidRPr="004B52D9">
        <w:rPr>
          <w:color w:val="2F5496" w:themeColor="accent1" w:themeShade="BF"/>
          <w:sz w:val="20"/>
          <w:szCs w:val="20"/>
        </w:rPr>
        <w:t xml:space="preserve"> punto </w:t>
      </w:r>
      <w:r w:rsidR="008E2432" w:rsidRPr="004B52D9">
        <w:rPr>
          <w:color w:val="2F5496" w:themeColor="accent1" w:themeShade="BF"/>
          <w:sz w:val="20"/>
          <w:szCs w:val="20"/>
        </w:rPr>
        <w:t>2</w:t>
      </w:r>
      <w:r w:rsidR="004B52D9" w:rsidRPr="004B52D9">
        <w:rPr>
          <w:color w:val="2F5496" w:themeColor="accent1" w:themeShade="BF"/>
          <w:sz w:val="20"/>
          <w:szCs w:val="20"/>
        </w:rPr>
        <w:t xml:space="preserve"> de las bases técnicas de la presente licitación, esta información es parte de la entrega que se realizará una vez adjudicada la consultoría. </w:t>
      </w:r>
    </w:p>
    <w:p w14:paraId="791BDE7C" w14:textId="53BB1755" w:rsidR="00D127D9" w:rsidRDefault="00D127D9" w:rsidP="004B52D9">
      <w:pPr>
        <w:pStyle w:val="Prrafodelista"/>
        <w:numPr>
          <w:ilvl w:val="0"/>
          <w:numId w:val="13"/>
        </w:numPr>
        <w:spacing w:after="120"/>
        <w:ind w:left="360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Planos con dimensiones generales de bocatoma, desarenador, cámara de carga, tubería en presión, casa de máquinas y canal de restitución</w:t>
      </w:r>
    </w:p>
    <w:p w14:paraId="59C51DD2" w14:textId="36CD844D" w:rsidR="00E935FF" w:rsidRPr="00794EE7" w:rsidRDefault="004B52D9" w:rsidP="004B52D9">
      <w:pPr>
        <w:spacing w:after="120"/>
        <w:jc w:val="both"/>
        <w:rPr>
          <w:color w:val="2F5496" w:themeColor="accent1" w:themeShade="BF"/>
          <w:sz w:val="20"/>
          <w:szCs w:val="20"/>
        </w:rPr>
      </w:pPr>
      <w:r w:rsidRPr="004B52D9">
        <w:rPr>
          <w:color w:val="2F5496" w:themeColor="accent1" w:themeShade="BF"/>
          <w:sz w:val="20"/>
          <w:szCs w:val="20"/>
        </w:rPr>
        <w:t>De acuerdo</w:t>
      </w:r>
      <w:r w:rsidR="00A15D26">
        <w:rPr>
          <w:color w:val="2F5496" w:themeColor="accent1" w:themeShade="BF"/>
          <w:sz w:val="20"/>
          <w:szCs w:val="20"/>
        </w:rPr>
        <w:t xml:space="preserve"> con el</w:t>
      </w:r>
      <w:r w:rsidRPr="004B52D9">
        <w:rPr>
          <w:color w:val="2F5496" w:themeColor="accent1" w:themeShade="BF"/>
          <w:sz w:val="20"/>
          <w:szCs w:val="20"/>
        </w:rPr>
        <w:t xml:space="preserve"> punto 2 de las bases técnicas de la presente licitación, esta información es parte de la entrega que se realizará una vez adjudicada la consultoría. </w:t>
      </w:r>
    </w:p>
    <w:p w14:paraId="0B11308E" w14:textId="4F7FD913" w:rsidR="00D127D9" w:rsidRDefault="00D127D9" w:rsidP="004B52D9">
      <w:pPr>
        <w:pStyle w:val="Prrafodelista"/>
        <w:numPr>
          <w:ilvl w:val="0"/>
          <w:numId w:val="13"/>
        </w:numPr>
        <w:spacing w:after="120"/>
        <w:ind w:left="360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Informe con definición de los equipos de generación considerados</w:t>
      </w:r>
    </w:p>
    <w:p w14:paraId="498C67E5" w14:textId="77777777" w:rsidR="004B52D9" w:rsidRPr="004B52D9" w:rsidRDefault="004B52D9" w:rsidP="004B52D9">
      <w:pPr>
        <w:spacing w:after="120"/>
        <w:jc w:val="both"/>
        <w:rPr>
          <w:color w:val="2F5496" w:themeColor="accent1" w:themeShade="BF"/>
          <w:sz w:val="20"/>
          <w:szCs w:val="20"/>
        </w:rPr>
      </w:pPr>
      <w:proofErr w:type="gramStart"/>
      <w:r w:rsidRPr="004B52D9">
        <w:rPr>
          <w:color w:val="2F5496" w:themeColor="accent1" w:themeShade="BF"/>
          <w:sz w:val="20"/>
          <w:szCs w:val="20"/>
        </w:rPr>
        <w:t>De acuerdo al</w:t>
      </w:r>
      <w:proofErr w:type="gramEnd"/>
      <w:r w:rsidRPr="004B52D9">
        <w:rPr>
          <w:color w:val="2F5496" w:themeColor="accent1" w:themeShade="BF"/>
          <w:sz w:val="20"/>
          <w:szCs w:val="20"/>
        </w:rPr>
        <w:t xml:space="preserve"> punto 2 de las bases técnicas de la presente licitación, esta información es parte de la entrega que se realizará una vez adjudicada la consultoría. </w:t>
      </w:r>
    </w:p>
    <w:p w14:paraId="34A61ED2" w14:textId="2811E4DD" w:rsidR="00D127D9" w:rsidRDefault="00D127D9" w:rsidP="00347043">
      <w:pPr>
        <w:pStyle w:val="Prrafodelista"/>
        <w:numPr>
          <w:ilvl w:val="0"/>
          <w:numId w:val="13"/>
        </w:numPr>
        <w:spacing w:before="120"/>
        <w:ind w:left="360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Levantamiento topográfico realizado</w:t>
      </w:r>
    </w:p>
    <w:p w14:paraId="56464EDD" w14:textId="67A5769D" w:rsidR="00CB238F" w:rsidRPr="00CB238F" w:rsidRDefault="00ED540A" w:rsidP="00347043">
      <w:pPr>
        <w:spacing w:before="120"/>
        <w:jc w:val="both"/>
        <w:rPr>
          <w:color w:val="2F5496" w:themeColor="accent1" w:themeShade="BF"/>
          <w:sz w:val="20"/>
          <w:szCs w:val="20"/>
        </w:rPr>
      </w:pPr>
      <w:r>
        <w:rPr>
          <w:color w:val="2F5496" w:themeColor="accent1" w:themeShade="BF"/>
          <w:sz w:val="20"/>
          <w:szCs w:val="20"/>
        </w:rPr>
        <w:t xml:space="preserve">El levantamiento topográfico </w:t>
      </w:r>
      <w:r w:rsidR="00EB364B">
        <w:rPr>
          <w:color w:val="2F5496" w:themeColor="accent1" w:themeShade="BF"/>
          <w:sz w:val="20"/>
          <w:szCs w:val="20"/>
        </w:rPr>
        <w:t xml:space="preserve">es parte de la presente consultoría según lo indicado por las bases en el punto 4.2.1. En el estudio realizado por CIEP se </w:t>
      </w:r>
      <w:r w:rsidR="00370D35">
        <w:rPr>
          <w:color w:val="2F5496" w:themeColor="accent1" w:themeShade="BF"/>
          <w:sz w:val="20"/>
          <w:szCs w:val="20"/>
        </w:rPr>
        <w:t>obtuvieron curvas de nivel a través de imágenes satelitales y d</w:t>
      </w:r>
      <w:r w:rsidR="00CB238F" w:rsidRPr="00CB238F">
        <w:rPr>
          <w:color w:val="2F5496" w:themeColor="accent1" w:themeShade="BF"/>
          <w:sz w:val="20"/>
          <w:szCs w:val="20"/>
        </w:rPr>
        <w:t xml:space="preserve">e acuerdo </w:t>
      </w:r>
      <w:r w:rsidR="00A15D26">
        <w:rPr>
          <w:color w:val="2F5496" w:themeColor="accent1" w:themeShade="BF"/>
          <w:sz w:val="20"/>
          <w:szCs w:val="20"/>
        </w:rPr>
        <w:t xml:space="preserve">con el </w:t>
      </w:r>
      <w:r w:rsidR="00CB238F" w:rsidRPr="00CB238F">
        <w:rPr>
          <w:color w:val="2F5496" w:themeColor="accent1" w:themeShade="BF"/>
          <w:sz w:val="20"/>
          <w:szCs w:val="20"/>
        </w:rPr>
        <w:t xml:space="preserve">punto 2 de las bases técnicas de la presente licitación, esta información es parte de la entrega que se realizará una vez adjudicada la consultoría. </w:t>
      </w:r>
    </w:p>
    <w:p w14:paraId="3BBB353D" w14:textId="77777777" w:rsidR="00A606F3" w:rsidRPr="00A606F3" w:rsidRDefault="00A606F3" w:rsidP="00A606F3">
      <w:pPr>
        <w:jc w:val="both"/>
        <w:rPr>
          <w:sz w:val="20"/>
          <w:szCs w:val="20"/>
        </w:rPr>
      </w:pPr>
    </w:p>
    <w:p w14:paraId="101AF12B" w14:textId="39A0314F" w:rsidR="00D127D9" w:rsidRDefault="00D127D9" w:rsidP="004B2240">
      <w:pPr>
        <w:pStyle w:val="Prrafodelista"/>
        <w:numPr>
          <w:ilvl w:val="0"/>
          <w:numId w:val="13"/>
        </w:numPr>
        <w:spacing w:after="120"/>
        <w:ind w:left="360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Mecánica de suelo efectuada</w:t>
      </w:r>
    </w:p>
    <w:p w14:paraId="2EC84D55" w14:textId="745871DD" w:rsidR="00D127D9" w:rsidRPr="00A459F4" w:rsidRDefault="00A606F3" w:rsidP="00A459F4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A459F4">
        <w:rPr>
          <w:color w:val="2F5496" w:themeColor="accent1" w:themeShade="BF"/>
          <w:sz w:val="20"/>
          <w:szCs w:val="20"/>
        </w:rPr>
        <w:t>El estudio “Investigación generación por microcentrales hidroeléctricas en la región de Aysén”, código BIP 40047172</w:t>
      </w:r>
      <w:r w:rsidR="004B2240" w:rsidRPr="00A459F4">
        <w:rPr>
          <w:color w:val="2F5496" w:themeColor="accent1" w:themeShade="BF"/>
          <w:sz w:val="20"/>
          <w:szCs w:val="20"/>
        </w:rPr>
        <w:t xml:space="preserve">-0, no consideró mecánica de suelo debido a que no era parte del alcance del estudio. </w:t>
      </w:r>
      <w:r w:rsidR="00FD37C2">
        <w:rPr>
          <w:color w:val="2F5496" w:themeColor="accent1" w:themeShade="BF"/>
          <w:sz w:val="20"/>
          <w:szCs w:val="20"/>
        </w:rPr>
        <w:t>De acuerdo con las bases técnicas de la presente consultoría en su punto 4.2.1 se debe realizar un levantamiento topográfico y mecánica de suelo de acuerdo</w:t>
      </w:r>
      <w:r w:rsidR="00000D84">
        <w:rPr>
          <w:color w:val="2F5496" w:themeColor="accent1" w:themeShade="BF"/>
          <w:sz w:val="20"/>
          <w:szCs w:val="20"/>
        </w:rPr>
        <w:t xml:space="preserve"> con</w:t>
      </w:r>
      <w:r w:rsidR="00FD37C2">
        <w:rPr>
          <w:color w:val="2F5496" w:themeColor="accent1" w:themeShade="BF"/>
          <w:sz w:val="20"/>
          <w:szCs w:val="20"/>
        </w:rPr>
        <w:t xml:space="preserve"> los requerimientos que allí se detallan. </w:t>
      </w:r>
    </w:p>
    <w:p w14:paraId="6B69A24B" w14:textId="77777777" w:rsidR="00D127D9" w:rsidRDefault="00D127D9" w:rsidP="00CB238F">
      <w:pPr>
        <w:pStyle w:val="Prrafodelista"/>
        <w:numPr>
          <w:ilvl w:val="0"/>
          <w:numId w:val="13"/>
        </w:numPr>
        <w:spacing w:after="120"/>
        <w:ind w:left="357" w:hanging="357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Respecto a los aforos, ¿es posible que el mandante entregue una estimación de cantidad de aforos por realizar?</w:t>
      </w:r>
    </w:p>
    <w:p w14:paraId="29077D7B" w14:textId="129D2E30" w:rsidR="007454BC" w:rsidRPr="008D7ABA" w:rsidRDefault="00DC7A91" w:rsidP="007454BC">
      <w:pPr>
        <w:spacing w:after="120"/>
        <w:jc w:val="both"/>
        <w:rPr>
          <w:color w:val="2F5496" w:themeColor="accent1" w:themeShade="BF"/>
          <w:sz w:val="20"/>
          <w:szCs w:val="20"/>
        </w:rPr>
      </w:pPr>
      <w:r w:rsidRPr="008D7ABA">
        <w:rPr>
          <w:color w:val="2F5496" w:themeColor="accent1" w:themeShade="BF"/>
          <w:sz w:val="20"/>
          <w:szCs w:val="20"/>
        </w:rPr>
        <w:t xml:space="preserve">No. </w:t>
      </w:r>
      <w:proofErr w:type="gramStart"/>
      <w:r w:rsidR="00513879" w:rsidRPr="008D7ABA">
        <w:rPr>
          <w:color w:val="2F5496" w:themeColor="accent1" w:themeShade="BF"/>
          <w:sz w:val="20"/>
          <w:szCs w:val="20"/>
        </w:rPr>
        <w:t>De acuerdo al</w:t>
      </w:r>
      <w:proofErr w:type="gramEnd"/>
      <w:r w:rsidR="00513879" w:rsidRPr="008D7ABA">
        <w:rPr>
          <w:color w:val="2F5496" w:themeColor="accent1" w:themeShade="BF"/>
          <w:sz w:val="20"/>
          <w:szCs w:val="20"/>
        </w:rPr>
        <w:t xml:space="preserve"> punto 4.1.3</w:t>
      </w:r>
      <w:r w:rsidR="00374410" w:rsidRPr="008D7ABA">
        <w:rPr>
          <w:color w:val="2F5496" w:themeColor="accent1" w:themeShade="BF"/>
          <w:sz w:val="20"/>
          <w:szCs w:val="20"/>
        </w:rPr>
        <w:t>, la cantidad de aforos necesarios dependerá de las conversaciones con la DGA</w:t>
      </w:r>
      <w:r w:rsidR="008D7ABA" w:rsidRPr="008D7ABA">
        <w:rPr>
          <w:color w:val="2F5496" w:themeColor="accent1" w:themeShade="BF"/>
          <w:sz w:val="20"/>
          <w:szCs w:val="20"/>
        </w:rPr>
        <w:t>.</w:t>
      </w:r>
    </w:p>
    <w:p w14:paraId="4D628833" w14:textId="561B8FF4" w:rsidR="00D127D9" w:rsidRDefault="00D127D9" w:rsidP="00CB238F">
      <w:pPr>
        <w:pStyle w:val="Prrafodelista"/>
        <w:numPr>
          <w:ilvl w:val="0"/>
          <w:numId w:val="13"/>
        </w:numPr>
        <w:spacing w:after="120"/>
        <w:ind w:left="357" w:hanging="357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Aclarar a qué se refiere lo indicado en el punto 4.2.2 como “fichas técnicas”</w:t>
      </w:r>
    </w:p>
    <w:p w14:paraId="32CF7B03" w14:textId="09D664EE" w:rsidR="008D7ABA" w:rsidRPr="009B0054" w:rsidRDefault="00F0130B" w:rsidP="008D7ABA">
      <w:pPr>
        <w:spacing w:after="120"/>
        <w:jc w:val="both"/>
        <w:rPr>
          <w:color w:val="2F5496" w:themeColor="accent1" w:themeShade="BF"/>
          <w:sz w:val="20"/>
          <w:szCs w:val="20"/>
        </w:rPr>
      </w:pPr>
      <w:r w:rsidRPr="009B0054">
        <w:rPr>
          <w:color w:val="2F5496" w:themeColor="accent1" w:themeShade="BF"/>
          <w:sz w:val="20"/>
          <w:szCs w:val="20"/>
        </w:rPr>
        <w:lastRenderedPageBreak/>
        <w:t xml:space="preserve">Se refiere a la información técnica en este caso solo para la tubería de presión u otro elemento que cuente con </w:t>
      </w:r>
      <w:r w:rsidR="009B0054" w:rsidRPr="009B0054">
        <w:rPr>
          <w:color w:val="2F5496" w:themeColor="accent1" w:themeShade="BF"/>
          <w:sz w:val="20"/>
          <w:szCs w:val="20"/>
        </w:rPr>
        <w:t xml:space="preserve">información técnica del fabricante. </w:t>
      </w:r>
    </w:p>
    <w:p w14:paraId="74226009" w14:textId="612C5648" w:rsidR="00D127D9" w:rsidRDefault="00D127D9" w:rsidP="00CB238F">
      <w:pPr>
        <w:pStyle w:val="Prrafodelista"/>
        <w:numPr>
          <w:ilvl w:val="0"/>
          <w:numId w:val="13"/>
        </w:numPr>
        <w:spacing w:after="120"/>
        <w:ind w:left="357" w:hanging="357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Confirmar si el estudio hidrológico debe realizarse solo en base a los aforos existentes, sin incluir estudios adicionales según metodologías tradicionales de la DGA</w:t>
      </w:r>
      <w:r w:rsidR="00A15D26">
        <w:rPr>
          <w:sz w:val="20"/>
          <w:szCs w:val="20"/>
        </w:rPr>
        <w:t>.</w:t>
      </w:r>
    </w:p>
    <w:p w14:paraId="2252106E" w14:textId="2B624640" w:rsidR="009B0054" w:rsidRPr="00764E4A" w:rsidRDefault="00B86121" w:rsidP="009B0054">
      <w:pPr>
        <w:spacing w:after="120"/>
        <w:jc w:val="both"/>
        <w:rPr>
          <w:color w:val="2F5496" w:themeColor="accent1" w:themeShade="BF"/>
          <w:sz w:val="20"/>
          <w:szCs w:val="20"/>
        </w:rPr>
      </w:pPr>
      <w:r w:rsidRPr="00764E4A">
        <w:rPr>
          <w:color w:val="2F5496" w:themeColor="accent1" w:themeShade="BF"/>
          <w:sz w:val="20"/>
          <w:szCs w:val="20"/>
        </w:rPr>
        <w:t xml:space="preserve">Esto dependerá de lo que se converse con la DGA según respuesta anterior. </w:t>
      </w:r>
    </w:p>
    <w:p w14:paraId="3D636B91" w14:textId="7CF6EDFB" w:rsidR="00D127D9" w:rsidRPr="00D127D9" w:rsidRDefault="00D127D9" w:rsidP="00CB238F">
      <w:pPr>
        <w:pStyle w:val="Prrafodelista"/>
        <w:numPr>
          <w:ilvl w:val="0"/>
          <w:numId w:val="13"/>
        </w:numPr>
        <w:spacing w:after="120"/>
        <w:ind w:left="357" w:hanging="357"/>
        <w:jc w:val="both"/>
        <w:rPr>
          <w:sz w:val="20"/>
          <w:szCs w:val="20"/>
        </w:rPr>
      </w:pPr>
      <w:r w:rsidRPr="00D127D9">
        <w:rPr>
          <w:sz w:val="20"/>
          <w:szCs w:val="20"/>
        </w:rPr>
        <w:t>Confirmar si el estudio básico consideró un caudal ecológico o ambiental en cada uno de los tres proyectos, considerando que no existen derechos de agua constituidos</w:t>
      </w:r>
      <w:r w:rsidR="00A15D26">
        <w:rPr>
          <w:sz w:val="20"/>
          <w:szCs w:val="20"/>
        </w:rPr>
        <w:t>.</w:t>
      </w:r>
    </w:p>
    <w:p w14:paraId="27EA2DD1" w14:textId="36423FCC" w:rsidR="00D127D9" w:rsidRPr="005D636B" w:rsidRDefault="005D636B" w:rsidP="009B0054">
      <w:pPr>
        <w:tabs>
          <w:tab w:val="left" w:pos="3544"/>
        </w:tabs>
        <w:spacing w:line="276" w:lineRule="auto"/>
        <w:contextualSpacing/>
        <w:rPr>
          <w:color w:val="2F5496" w:themeColor="accent1" w:themeShade="BF"/>
          <w:sz w:val="20"/>
          <w:szCs w:val="20"/>
        </w:rPr>
      </w:pPr>
      <w:r w:rsidRPr="005D636B">
        <w:rPr>
          <w:color w:val="2F5496" w:themeColor="accent1" w:themeShade="BF"/>
          <w:sz w:val="20"/>
          <w:szCs w:val="20"/>
        </w:rPr>
        <w:t xml:space="preserve">El estudio básico considera el 20% </w:t>
      </w:r>
      <w:r>
        <w:rPr>
          <w:color w:val="2F5496" w:themeColor="accent1" w:themeShade="BF"/>
          <w:sz w:val="20"/>
          <w:szCs w:val="20"/>
        </w:rPr>
        <w:t xml:space="preserve">del mínimo caudal medido durante el estudio. </w:t>
      </w:r>
    </w:p>
    <w:p w14:paraId="36D49197" w14:textId="77777777" w:rsidR="00764E4A" w:rsidRDefault="00764E4A" w:rsidP="009B0054">
      <w:pPr>
        <w:tabs>
          <w:tab w:val="left" w:pos="3544"/>
        </w:tabs>
        <w:spacing w:line="276" w:lineRule="auto"/>
        <w:contextualSpacing/>
        <w:rPr>
          <w:b/>
          <w:bCs/>
        </w:rPr>
      </w:pPr>
    </w:p>
    <w:p w14:paraId="29ECBEBC" w14:textId="15926076" w:rsidR="00D127D9" w:rsidRDefault="00D127D9" w:rsidP="00D127D9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 w:rsidRPr="00D127D9">
        <w:rPr>
          <w:b/>
          <w:bCs/>
          <w:color w:val="000000"/>
          <w:sz w:val="20"/>
          <w:szCs w:val="20"/>
        </w:rPr>
        <w:t>Información de Terreno y Logística</w:t>
      </w:r>
    </w:p>
    <w:p w14:paraId="2EB710CA" w14:textId="77777777" w:rsidR="003C2D2C" w:rsidRPr="00D127D9" w:rsidRDefault="003C2D2C" w:rsidP="003C2D2C">
      <w:pPr>
        <w:pStyle w:val="Prrafodelista"/>
        <w:tabs>
          <w:tab w:val="left" w:pos="3544"/>
        </w:tabs>
        <w:spacing w:line="276" w:lineRule="auto"/>
        <w:ind w:left="360"/>
        <w:contextualSpacing/>
        <w:rPr>
          <w:b/>
          <w:bCs/>
          <w:color w:val="000000"/>
          <w:sz w:val="20"/>
          <w:szCs w:val="20"/>
        </w:rPr>
      </w:pPr>
    </w:p>
    <w:p w14:paraId="01473775" w14:textId="729B283D" w:rsidR="00D127D9" w:rsidRPr="003C2D2C" w:rsidRDefault="00D127D9" w:rsidP="0042196A">
      <w:pPr>
        <w:pStyle w:val="Prrafodelista"/>
        <w:numPr>
          <w:ilvl w:val="0"/>
          <w:numId w:val="13"/>
        </w:numPr>
        <w:spacing w:after="120"/>
        <w:ind w:left="357" w:hanging="357"/>
        <w:jc w:val="both"/>
        <w:rPr>
          <w:sz w:val="20"/>
          <w:szCs w:val="20"/>
        </w:rPr>
      </w:pPr>
      <w:r w:rsidRPr="003C2D2C">
        <w:rPr>
          <w:sz w:val="20"/>
          <w:szCs w:val="20"/>
        </w:rPr>
        <w:t>¿CODESSER facilitará el contacto con propietarios o autoridades locales para visitas técnicas?</w:t>
      </w:r>
    </w:p>
    <w:p w14:paraId="060B8DBE" w14:textId="1C874983" w:rsidR="00CB238F" w:rsidRPr="003C2D2C" w:rsidRDefault="003C2D2C" w:rsidP="0042196A">
      <w:pPr>
        <w:tabs>
          <w:tab w:val="left" w:pos="3544"/>
        </w:tabs>
        <w:spacing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3C2D2C">
        <w:rPr>
          <w:color w:val="2F5496" w:themeColor="accent1" w:themeShade="BF"/>
          <w:sz w:val="20"/>
          <w:szCs w:val="20"/>
        </w:rPr>
        <w:t xml:space="preserve">Si. De acuerdo con el punto 2 de las bases técnicas de la presente licitación, esta información será entregada una vez adjudicada la consultoría. </w:t>
      </w:r>
    </w:p>
    <w:p w14:paraId="0BA7D33A" w14:textId="77777777" w:rsidR="00D127D9" w:rsidRPr="003C2D2C" w:rsidRDefault="00D127D9" w:rsidP="0042196A">
      <w:pPr>
        <w:pStyle w:val="Prrafodelista"/>
        <w:numPr>
          <w:ilvl w:val="0"/>
          <w:numId w:val="13"/>
        </w:numPr>
        <w:spacing w:after="120"/>
        <w:ind w:left="357" w:hanging="357"/>
        <w:jc w:val="both"/>
        <w:rPr>
          <w:sz w:val="20"/>
          <w:szCs w:val="20"/>
        </w:rPr>
      </w:pPr>
      <w:r w:rsidRPr="003C2D2C">
        <w:rPr>
          <w:sz w:val="20"/>
          <w:szCs w:val="20"/>
        </w:rPr>
        <w:t>¿Existen restricciones de acceso, condiciones climáticas o logísticas relevantes en los tres puntos definidos?</w:t>
      </w:r>
    </w:p>
    <w:p w14:paraId="29689D55" w14:textId="11CA1CDF" w:rsidR="00746CB3" w:rsidRPr="00707C01" w:rsidRDefault="00746CB3" w:rsidP="0042196A">
      <w:pPr>
        <w:tabs>
          <w:tab w:val="left" w:pos="3544"/>
        </w:tabs>
        <w:spacing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707C01">
        <w:rPr>
          <w:color w:val="2F5496" w:themeColor="accent1" w:themeShade="BF"/>
          <w:sz w:val="20"/>
          <w:szCs w:val="20"/>
        </w:rPr>
        <w:t xml:space="preserve">Los puntos definidos fueron seleccionados en base a los siguientes criterios: Acceso, distancia al punto de conexión, </w:t>
      </w:r>
      <w:r w:rsidR="00707C01" w:rsidRPr="00707C01">
        <w:rPr>
          <w:color w:val="2F5496" w:themeColor="accent1" w:themeShade="BF"/>
          <w:sz w:val="20"/>
          <w:szCs w:val="20"/>
        </w:rPr>
        <w:t xml:space="preserve">servidumbres, entre otros. </w:t>
      </w:r>
    </w:p>
    <w:p w14:paraId="22E91464" w14:textId="77777777" w:rsidR="00746CB3" w:rsidRDefault="00746CB3" w:rsidP="00D127D9">
      <w:pPr>
        <w:tabs>
          <w:tab w:val="left" w:pos="3544"/>
        </w:tabs>
        <w:spacing w:line="276" w:lineRule="auto"/>
        <w:contextualSpacing/>
        <w:rPr>
          <w:b/>
          <w:bCs/>
          <w:color w:val="222222"/>
          <w:sz w:val="20"/>
          <w:szCs w:val="20"/>
        </w:rPr>
      </w:pPr>
    </w:p>
    <w:p w14:paraId="0E165CA3" w14:textId="1A1E96AC" w:rsidR="00D127D9" w:rsidRPr="00D127D9" w:rsidRDefault="00D127D9" w:rsidP="00D127D9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 w:rsidRPr="00D127D9">
        <w:rPr>
          <w:b/>
          <w:bCs/>
          <w:color w:val="000000"/>
          <w:sz w:val="20"/>
          <w:szCs w:val="20"/>
        </w:rPr>
        <w:t>Tramitaciones y Permisos</w:t>
      </w:r>
    </w:p>
    <w:p w14:paraId="2AE02DA8" w14:textId="54D1AEC0" w:rsidR="0042196A" w:rsidRDefault="00D127D9" w:rsidP="0038186F">
      <w:pPr>
        <w:pStyle w:val="Prrafodelista"/>
        <w:numPr>
          <w:ilvl w:val="0"/>
          <w:numId w:val="13"/>
        </w:numPr>
        <w:spacing w:before="100" w:beforeAutospacing="1" w:after="120"/>
        <w:ind w:left="357" w:hanging="357"/>
        <w:jc w:val="both"/>
        <w:rPr>
          <w:sz w:val="20"/>
          <w:szCs w:val="20"/>
        </w:rPr>
      </w:pPr>
      <w:r w:rsidRPr="00D61385">
        <w:rPr>
          <w:sz w:val="20"/>
          <w:szCs w:val="20"/>
        </w:rPr>
        <w:t xml:space="preserve">¿El adjudicatario debe iniciar formalmente los trámites ante DGA y Edelaysén, o solo preparar los antecedentes? </w:t>
      </w:r>
    </w:p>
    <w:p w14:paraId="5EC5D598" w14:textId="1A3F61F7" w:rsidR="0042196A" w:rsidRDefault="009D17B3" w:rsidP="00D107B1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38186F">
        <w:rPr>
          <w:color w:val="2F5496" w:themeColor="accent1" w:themeShade="BF"/>
          <w:sz w:val="20"/>
          <w:szCs w:val="20"/>
        </w:rPr>
        <w:t xml:space="preserve">De acuerdo </w:t>
      </w:r>
      <w:r w:rsidR="00177DB0" w:rsidRPr="0038186F">
        <w:rPr>
          <w:color w:val="2F5496" w:themeColor="accent1" w:themeShade="BF"/>
          <w:sz w:val="20"/>
          <w:szCs w:val="20"/>
        </w:rPr>
        <w:t>con el</w:t>
      </w:r>
      <w:r w:rsidRPr="0038186F">
        <w:rPr>
          <w:color w:val="2F5496" w:themeColor="accent1" w:themeShade="BF"/>
          <w:sz w:val="20"/>
          <w:szCs w:val="20"/>
        </w:rPr>
        <w:t xml:space="preserve"> punto 4.2.7, </w:t>
      </w:r>
      <w:r w:rsidR="00177DB0" w:rsidRPr="0038186F">
        <w:rPr>
          <w:color w:val="2F5496" w:themeColor="accent1" w:themeShade="BF"/>
          <w:sz w:val="20"/>
          <w:szCs w:val="20"/>
        </w:rPr>
        <w:t xml:space="preserve">el consultor deberá iniciar el proceso de solicitud de derechos de aprovechamiento de aguas no consuntivos para cada uno de los puntos”, esto </w:t>
      </w:r>
      <w:r w:rsidR="0038186F" w:rsidRPr="0038186F">
        <w:rPr>
          <w:color w:val="2F5496" w:themeColor="accent1" w:themeShade="BF"/>
          <w:sz w:val="20"/>
          <w:szCs w:val="20"/>
        </w:rPr>
        <w:t>se refiere a</w:t>
      </w:r>
      <w:r w:rsidR="00C81B86">
        <w:rPr>
          <w:color w:val="2F5496" w:themeColor="accent1" w:themeShade="BF"/>
          <w:sz w:val="20"/>
          <w:szCs w:val="20"/>
        </w:rPr>
        <w:t xml:space="preserve"> iniciar</w:t>
      </w:r>
      <w:r w:rsidR="0038186F" w:rsidRPr="0038186F">
        <w:rPr>
          <w:color w:val="2F5496" w:themeColor="accent1" w:themeShade="BF"/>
          <w:sz w:val="20"/>
          <w:szCs w:val="20"/>
        </w:rPr>
        <w:t xml:space="preserve"> formalmente los trámites ante la DGA. </w:t>
      </w:r>
    </w:p>
    <w:p w14:paraId="6020659D" w14:textId="43942952" w:rsidR="0031144E" w:rsidRDefault="00A3120C" w:rsidP="0031144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>
        <w:rPr>
          <w:color w:val="2F5496" w:themeColor="accent1" w:themeShade="BF"/>
          <w:sz w:val="20"/>
          <w:szCs w:val="20"/>
        </w:rPr>
        <w:t xml:space="preserve">Respecto a los trámites de Edelaysén, </w:t>
      </w:r>
      <w:r w:rsidR="0031144E">
        <w:rPr>
          <w:color w:val="2F5496" w:themeColor="accent1" w:themeShade="BF"/>
          <w:sz w:val="20"/>
          <w:szCs w:val="20"/>
        </w:rPr>
        <w:t xml:space="preserve">en el punto 4.1.4 se indica que </w:t>
      </w:r>
      <w:r w:rsidR="00DE6375">
        <w:rPr>
          <w:color w:val="2F5496" w:themeColor="accent1" w:themeShade="BF"/>
          <w:sz w:val="20"/>
          <w:szCs w:val="20"/>
        </w:rPr>
        <w:t xml:space="preserve">“Se debe realizar, con el apoyo de la contraparte técnica, la solicitud de </w:t>
      </w:r>
      <w:r w:rsidR="002272A8">
        <w:rPr>
          <w:color w:val="2F5496" w:themeColor="accent1" w:themeShade="BF"/>
          <w:sz w:val="20"/>
          <w:szCs w:val="20"/>
        </w:rPr>
        <w:t>factibilidad de conexión a la empresa eléctrica</w:t>
      </w:r>
      <w:r w:rsidR="00C81B86">
        <w:rPr>
          <w:color w:val="2F5496" w:themeColor="accent1" w:themeShade="BF"/>
          <w:sz w:val="20"/>
          <w:szCs w:val="20"/>
        </w:rPr>
        <w:t>”, esto</w:t>
      </w:r>
      <w:r w:rsidR="002272A8">
        <w:rPr>
          <w:color w:val="2F5496" w:themeColor="accent1" w:themeShade="BF"/>
          <w:sz w:val="20"/>
          <w:szCs w:val="20"/>
        </w:rPr>
        <w:t xml:space="preserve"> </w:t>
      </w:r>
      <w:r w:rsidR="00E80208">
        <w:rPr>
          <w:color w:val="2F5496" w:themeColor="accent1" w:themeShade="BF"/>
          <w:sz w:val="20"/>
          <w:szCs w:val="20"/>
        </w:rPr>
        <w:t xml:space="preserve">a nivel de consulta ya que la solicitud de conexión se realizará una vez que se ejecute la obra. </w:t>
      </w:r>
    </w:p>
    <w:p w14:paraId="349EDA0B" w14:textId="77777777" w:rsidR="00A53649" w:rsidRDefault="00A53649" w:rsidP="0031144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</w:p>
    <w:p w14:paraId="322169EA" w14:textId="1C85D47C" w:rsidR="00D127D9" w:rsidRPr="0031144E" w:rsidRDefault="00D127D9" w:rsidP="0031144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31144E">
        <w:rPr>
          <w:sz w:val="20"/>
          <w:szCs w:val="20"/>
        </w:rPr>
        <w:t>¿Qué nivel de avance se espera en la tramitación de derechos de agua y factibilidad de conexión eléctrica?</w:t>
      </w:r>
    </w:p>
    <w:p w14:paraId="11C823D3" w14:textId="77777777" w:rsidR="00C81B86" w:rsidRDefault="00C81B86" w:rsidP="00C81B86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38186F">
        <w:rPr>
          <w:color w:val="2F5496" w:themeColor="accent1" w:themeShade="BF"/>
          <w:sz w:val="20"/>
          <w:szCs w:val="20"/>
        </w:rPr>
        <w:t>De acuerdo con el punto 4.2.7, el consultor deberá iniciar el proceso de solicitud de derechos de aprovechamiento de aguas no consuntivos para cada uno de los puntos”, esto se refiere a</w:t>
      </w:r>
      <w:r>
        <w:rPr>
          <w:color w:val="2F5496" w:themeColor="accent1" w:themeShade="BF"/>
          <w:sz w:val="20"/>
          <w:szCs w:val="20"/>
        </w:rPr>
        <w:t xml:space="preserve"> iniciar</w:t>
      </w:r>
      <w:r w:rsidRPr="0038186F">
        <w:rPr>
          <w:color w:val="2F5496" w:themeColor="accent1" w:themeShade="BF"/>
          <w:sz w:val="20"/>
          <w:szCs w:val="20"/>
        </w:rPr>
        <w:t xml:space="preserve"> formalmente los trámites ante la DGA. </w:t>
      </w:r>
    </w:p>
    <w:p w14:paraId="461305FB" w14:textId="023EBD6C" w:rsidR="00C81B86" w:rsidRDefault="00C81B86" w:rsidP="00C81B86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>
        <w:rPr>
          <w:color w:val="2F5496" w:themeColor="accent1" w:themeShade="BF"/>
          <w:sz w:val="20"/>
          <w:szCs w:val="20"/>
        </w:rPr>
        <w:t xml:space="preserve">Respecto a los trámites de Edelaysén, en el punto 4.1.4 se indica que “Se debe realizar, con el apoyo de la contraparte técnica, la solicitud de factibilidad de conexión a la empresa eléctrica”, esto a nivel de consulta ya que la solicitud de conexión se realizará una vez que se ejecute la obra. </w:t>
      </w:r>
    </w:p>
    <w:p w14:paraId="752A63E9" w14:textId="343A7704" w:rsidR="00D127D9" w:rsidRDefault="00D127D9" w:rsidP="00E80208">
      <w:pPr>
        <w:tabs>
          <w:tab w:val="left" w:pos="3544"/>
        </w:tabs>
        <w:spacing w:after="120" w:line="276" w:lineRule="auto"/>
        <w:contextualSpacing/>
        <w:jc w:val="both"/>
        <w:rPr>
          <w:sz w:val="28"/>
          <w:szCs w:val="28"/>
        </w:rPr>
      </w:pPr>
    </w:p>
    <w:p w14:paraId="006142A1" w14:textId="77777777" w:rsidR="00D127D9" w:rsidRPr="00D127D9" w:rsidRDefault="00D127D9" w:rsidP="00D127D9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 w:rsidRPr="00D127D9">
        <w:rPr>
          <w:b/>
          <w:bCs/>
          <w:color w:val="000000"/>
          <w:sz w:val="20"/>
          <w:szCs w:val="20"/>
        </w:rPr>
        <w:t>Contratos y Propiedad Compartida</w:t>
      </w:r>
    </w:p>
    <w:p w14:paraId="2A8C3C21" w14:textId="77777777" w:rsidR="00683D63" w:rsidRPr="00683D63" w:rsidRDefault="00D127D9" w:rsidP="006D3EE1">
      <w:pPr>
        <w:pStyle w:val="Prrafodelista"/>
        <w:numPr>
          <w:ilvl w:val="0"/>
          <w:numId w:val="15"/>
        </w:numPr>
        <w:tabs>
          <w:tab w:val="left" w:pos="3544"/>
        </w:tabs>
        <w:spacing w:after="120" w:line="276" w:lineRule="auto"/>
        <w:contextualSpacing/>
        <w:jc w:val="both"/>
        <w:rPr>
          <w:color w:val="222222"/>
          <w:sz w:val="20"/>
          <w:szCs w:val="20"/>
        </w:rPr>
      </w:pPr>
      <w:r w:rsidRPr="00683D63">
        <w:rPr>
          <w:color w:val="222222"/>
          <w:sz w:val="20"/>
          <w:szCs w:val="20"/>
        </w:rPr>
        <w:t>¿Se entregará</w:t>
      </w:r>
      <w:r w:rsidRPr="00D61385">
        <w:rPr>
          <w:color w:val="222222"/>
          <w:sz w:val="20"/>
          <w:szCs w:val="20"/>
        </w:rPr>
        <w:t xml:space="preserve"> un modelo base para el contrato de propiedad conjunta, o debe ser propuesto por el consultor? </w:t>
      </w:r>
    </w:p>
    <w:p w14:paraId="6FBDE49B" w14:textId="5A1C10C9" w:rsidR="006D3EE1" w:rsidRPr="006D3EE1" w:rsidRDefault="007F1C69" w:rsidP="006D3EE1">
      <w:pPr>
        <w:tabs>
          <w:tab w:val="left" w:pos="3544"/>
        </w:tabs>
        <w:spacing w:after="120" w:line="276" w:lineRule="auto"/>
        <w:contextualSpacing/>
        <w:jc w:val="both"/>
        <w:rPr>
          <w:color w:val="222222"/>
          <w:sz w:val="20"/>
        </w:rPr>
      </w:pPr>
      <w:r w:rsidRPr="006D3EE1">
        <w:rPr>
          <w:color w:val="2F5496" w:themeColor="accent1" w:themeShade="BF"/>
          <w:sz w:val="20"/>
          <w:szCs w:val="20"/>
        </w:rPr>
        <w:t>Debe ser propuesto por el consultor cumpliendo con todo lo solicitado en el reglamento de</w:t>
      </w:r>
      <w:r w:rsidR="006D3EE1" w:rsidRPr="006D3EE1">
        <w:rPr>
          <w:color w:val="2F5496" w:themeColor="accent1" w:themeShade="BF"/>
          <w:sz w:val="20"/>
          <w:szCs w:val="20"/>
        </w:rPr>
        <w:t> reglamento de generación distribuida para autoconsumo.</w:t>
      </w:r>
    </w:p>
    <w:p w14:paraId="1B0C8C2C" w14:textId="62F8031F" w:rsidR="00D127D9" w:rsidRPr="00683D63" w:rsidRDefault="00D127D9" w:rsidP="00683D63">
      <w:pPr>
        <w:tabs>
          <w:tab w:val="left" w:pos="3544"/>
        </w:tabs>
        <w:spacing w:line="276" w:lineRule="auto"/>
        <w:contextualSpacing/>
        <w:jc w:val="both"/>
        <w:rPr>
          <w:color w:val="222222"/>
          <w:sz w:val="20"/>
          <w:szCs w:val="20"/>
        </w:rPr>
      </w:pPr>
    </w:p>
    <w:p w14:paraId="42254F4A" w14:textId="57CC1443" w:rsidR="00D127D9" w:rsidRPr="00D61385" w:rsidRDefault="00D127D9" w:rsidP="007F428E">
      <w:pPr>
        <w:pStyle w:val="Prrafodelista"/>
        <w:numPr>
          <w:ilvl w:val="0"/>
          <w:numId w:val="15"/>
        </w:numPr>
        <w:tabs>
          <w:tab w:val="left" w:pos="3544"/>
        </w:tabs>
        <w:spacing w:after="120" w:line="276" w:lineRule="auto"/>
        <w:contextualSpacing/>
        <w:jc w:val="both"/>
        <w:rPr>
          <w:color w:val="222222"/>
          <w:sz w:val="20"/>
          <w:szCs w:val="20"/>
        </w:rPr>
      </w:pPr>
      <w:r w:rsidRPr="00D61385">
        <w:rPr>
          <w:color w:val="222222"/>
          <w:sz w:val="20"/>
          <w:szCs w:val="20"/>
        </w:rPr>
        <w:t>¿Qué tipo de gobernanza se espera incluir en el modelo de negocio (roles, responsabilidades, operación)?</w:t>
      </w:r>
    </w:p>
    <w:p w14:paraId="5E4D7D9B" w14:textId="34618548" w:rsidR="00D127D9" w:rsidRDefault="00092445" w:rsidP="007F428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092445">
        <w:rPr>
          <w:color w:val="2F5496" w:themeColor="accent1" w:themeShade="BF"/>
          <w:sz w:val="20"/>
          <w:szCs w:val="20"/>
        </w:rPr>
        <w:t xml:space="preserve">Esto debe ser propuesto por el consultor. </w:t>
      </w:r>
    </w:p>
    <w:p w14:paraId="5D148B36" w14:textId="77777777" w:rsidR="007F428E" w:rsidRDefault="007F428E" w:rsidP="007F428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</w:p>
    <w:p w14:paraId="06A3F79D" w14:textId="77777777" w:rsidR="007F428E" w:rsidRDefault="007F428E" w:rsidP="007F428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</w:p>
    <w:p w14:paraId="64EC3509" w14:textId="77777777" w:rsidR="007F428E" w:rsidRPr="00092445" w:rsidRDefault="007F428E" w:rsidP="007F428E">
      <w:pPr>
        <w:tabs>
          <w:tab w:val="left" w:pos="3544"/>
        </w:tabs>
        <w:spacing w:after="120"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</w:p>
    <w:p w14:paraId="3DF09AA4" w14:textId="77777777" w:rsidR="0088571C" w:rsidRPr="0088571C" w:rsidRDefault="0088571C" w:rsidP="0088571C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 w:rsidRPr="0088571C">
        <w:rPr>
          <w:b/>
          <w:bCs/>
          <w:color w:val="000000"/>
          <w:sz w:val="20"/>
          <w:szCs w:val="20"/>
        </w:rPr>
        <w:lastRenderedPageBreak/>
        <w:t>Presupuesto y Cotizaciones</w:t>
      </w:r>
    </w:p>
    <w:p w14:paraId="7C4A2BBA" w14:textId="38093E8F" w:rsidR="0088571C" w:rsidRDefault="0088571C" w:rsidP="00D61385">
      <w:pPr>
        <w:pStyle w:val="Prrafodelista"/>
        <w:numPr>
          <w:ilvl w:val="0"/>
          <w:numId w:val="14"/>
        </w:numPr>
        <w:tabs>
          <w:tab w:val="left" w:pos="3544"/>
        </w:tabs>
        <w:spacing w:after="120" w:line="276" w:lineRule="auto"/>
        <w:contextualSpacing/>
        <w:jc w:val="both"/>
        <w:rPr>
          <w:color w:val="222222"/>
          <w:sz w:val="20"/>
          <w:szCs w:val="20"/>
        </w:rPr>
      </w:pPr>
      <w:r w:rsidRPr="004F28F1">
        <w:rPr>
          <w:color w:val="222222"/>
          <w:sz w:val="20"/>
          <w:szCs w:val="20"/>
        </w:rPr>
        <w:t>¿Existe un presupuesto referencial por microcentral o por el estudio completo?</w:t>
      </w:r>
    </w:p>
    <w:p w14:paraId="13BA33EC" w14:textId="3BE8B929" w:rsidR="004F28F1" w:rsidRDefault="00D423CA" w:rsidP="00D423CA">
      <w:pPr>
        <w:tabs>
          <w:tab w:val="left" w:pos="3544"/>
        </w:tabs>
        <w:spacing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  <w:r w:rsidRPr="004B52D9">
        <w:rPr>
          <w:color w:val="2F5496" w:themeColor="accent1" w:themeShade="BF"/>
          <w:sz w:val="20"/>
          <w:szCs w:val="20"/>
        </w:rPr>
        <w:t>De acuerdo</w:t>
      </w:r>
      <w:r>
        <w:rPr>
          <w:color w:val="2F5496" w:themeColor="accent1" w:themeShade="BF"/>
          <w:sz w:val="20"/>
          <w:szCs w:val="20"/>
        </w:rPr>
        <w:t xml:space="preserve"> con el</w:t>
      </w:r>
      <w:r w:rsidRPr="004B52D9">
        <w:rPr>
          <w:color w:val="2F5496" w:themeColor="accent1" w:themeShade="BF"/>
          <w:sz w:val="20"/>
          <w:szCs w:val="20"/>
        </w:rPr>
        <w:t xml:space="preserve"> punto 2 de las bases técnicas de la presente licitación, esta información es parte de la entrega que se realizará una vez adjudicada la consultoría</w:t>
      </w:r>
      <w:r>
        <w:rPr>
          <w:color w:val="2F5496" w:themeColor="accent1" w:themeShade="BF"/>
          <w:sz w:val="20"/>
          <w:szCs w:val="20"/>
        </w:rPr>
        <w:t>.</w:t>
      </w:r>
    </w:p>
    <w:p w14:paraId="2F625722" w14:textId="77777777" w:rsidR="0054241F" w:rsidRDefault="0054241F" w:rsidP="00D423CA">
      <w:pPr>
        <w:tabs>
          <w:tab w:val="left" w:pos="3544"/>
        </w:tabs>
        <w:spacing w:line="276" w:lineRule="auto"/>
        <w:contextualSpacing/>
        <w:jc w:val="both"/>
        <w:rPr>
          <w:color w:val="222222"/>
          <w:sz w:val="20"/>
          <w:szCs w:val="20"/>
        </w:rPr>
      </w:pPr>
    </w:p>
    <w:p w14:paraId="2241A3C5" w14:textId="243982AB" w:rsidR="0088571C" w:rsidRDefault="0088571C" w:rsidP="007E3854">
      <w:pPr>
        <w:pStyle w:val="Prrafodelista"/>
        <w:numPr>
          <w:ilvl w:val="0"/>
          <w:numId w:val="14"/>
        </w:numPr>
        <w:tabs>
          <w:tab w:val="left" w:pos="3544"/>
        </w:tabs>
        <w:spacing w:after="120" w:line="276" w:lineRule="auto"/>
        <w:ind w:left="714" w:hanging="357"/>
        <w:contextualSpacing/>
        <w:jc w:val="both"/>
        <w:rPr>
          <w:color w:val="222222"/>
          <w:sz w:val="20"/>
          <w:szCs w:val="20"/>
        </w:rPr>
      </w:pPr>
      <w:r w:rsidRPr="004F28F1">
        <w:rPr>
          <w:color w:val="222222"/>
          <w:sz w:val="20"/>
          <w:szCs w:val="20"/>
        </w:rPr>
        <w:t>¿Se permite subcontratar estudios específicos (topografía, geotecnia)? ¿Qué documentación se exige?</w:t>
      </w:r>
    </w:p>
    <w:p w14:paraId="621F3EB4" w14:textId="6C578489" w:rsidR="009B5F76" w:rsidRPr="00B02166" w:rsidRDefault="00DD753F" w:rsidP="009B5F76">
      <w:pPr>
        <w:tabs>
          <w:tab w:val="left" w:pos="3544"/>
        </w:tabs>
        <w:spacing w:after="120" w:line="276" w:lineRule="auto"/>
        <w:ind w:left="357"/>
        <w:contextualSpacing/>
        <w:jc w:val="both"/>
        <w:rPr>
          <w:color w:val="2F5496" w:themeColor="accent1" w:themeShade="BF"/>
          <w:sz w:val="20"/>
          <w:szCs w:val="20"/>
        </w:rPr>
      </w:pPr>
      <w:proofErr w:type="gramStart"/>
      <w:r w:rsidRPr="00B02166">
        <w:rPr>
          <w:color w:val="2F5496" w:themeColor="accent1" w:themeShade="BF"/>
          <w:sz w:val="20"/>
          <w:szCs w:val="20"/>
        </w:rPr>
        <w:t>De acuerdo al</w:t>
      </w:r>
      <w:proofErr w:type="gramEnd"/>
      <w:r w:rsidRPr="00B02166">
        <w:rPr>
          <w:color w:val="2F5496" w:themeColor="accent1" w:themeShade="BF"/>
          <w:sz w:val="20"/>
          <w:szCs w:val="20"/>
        </w:rPr>
        <w:t xml:space="preserve"> punto 9</w:t>
      </w:r>
      <w:r w:rsidR="001D5DCF" w:rsidRPr="00B02166">
        <w:rPr>
          <w:color w:val="2F5496" w:themeColor="accent1" w:themeShade="BF"/>
          <w:sz w:val="20"/>
          <w:szCs w:val="20"/>
        </w:rPr>
        <w:t xml:space="preserve"> de las bases técnicas </w:t>
      </w:r>
      <w:r w:rsidR="00995AAD" w:rsidRPr="00B02166">
        <w:rPr>
          <w:color w:val="2F5496" w:themeColor="accent1" w:themeShade="BF"/>
          <w:sz w:val="20"/>
          <w:szCs w:val="20"/>
        </w:rPr>
        <w:t xml:space="preserve">siempre que </w:t>
      </w:r>
      <w:r w:rsidR="00B02166">
        <w:rPr>
          <w:color w:val="2F5496" w:themeColor="accent1" w:themeShade="BF"/>
          <w:sz w:val="20"/>
          <w:szCs w:val="20"/>
        </w:rPr>
        <w:t>la</w:t>
      </w:r>
      <w:r w:rsidR="00995AAD" w:rsidRPr="00B02166">
        <w:rPr>
          <w:color w:val="2F5496" w:themeColor="accent1" w:themeShade="BF"/>
          <w:sz w:val="20"/>
          <w:szCs w:val="20"/>
        </w:rPr>
        <w:t xml:space="preserve"> situación lo amerite es posible </w:t>
      </w:r>
      <w:r w:rsidR="00B02166" w:rsidRPr="00B02166">
        <w:rPr>
          <w:color w:val="2F5496" w:themeColor="accent1" w:themeShade="BF"/>
          <w:sz w:val="20"/>
          <w:szCs w:val="20"/>
        </w:rPr>
        <w:t xml:space="preserve">subcontratar la prestación del servicio. </w:t>
      </w:r>
      <w:r w:rsidR="00D558DE">
        <w:rPr>
          <w:color w:val="2F5496" w:themeColor="accent1" w:themeShade="BF"/>
          <w:sz w:val="20"/>
          <w:szCs w:val="20"/>
        </w:rPr>
        <w:t>Sin perjuicio de ello, los lineamientos para el proceso de subcontratación se especifican en el numeral 3.4 “subcontrataciones” de las bases administrativas.</w:t>
      </w:r>
    </w:p>
    <w:p w14:paraId="26D6CDFD" w14:textId="6C6575F6" w:rsidR="00D15F67" w:rsidRDefault="0088571C" w:rsidP="00D15F67">
      <w:pPr>
        <w:pStyle w:val="Prrafodelista"/>
        <w:numPr>
          <w:ilvl w:val="0"/>
          <w:numId w:val="14"/>
        </w:numPr>
        <w:tabs>
          <w:tab w:val="left" w:pos="3544"/>
        </w:tabs>
        <w:spacing w:after="120" w:line="276" w:lineRule="auto"/>
        <w:ind w:left="714" w:hanging="357"/>
        <w:contextualSpacing/>
        <w:jc w:val="both"/>
        <w:rPr>
          <w:color w:val="222222"/>
          <w:sz w:val="20"/>
          <w:szCs w:val="20"/>
        </w:rPr>
      </w:pPr>
      <w:r w:rsidRPr="00A37B64">
        <w:rPr>
          <w:color w:val="222222"/>
          <w:sz w:val="20"/>
          <w:szCs w:val="20"/>
        </w:rPr>
        <w:t>En caso de requerirse un estudio geotécnico completo, solicitamos que este se cotice por separado una vez definida su necesidad, y que se reevalúen los plazos de ejecución de la ingeniería de detalle</w:t>
      </w:r>
      <w:r w:rsidR="00D15F67">
        <w:rPr>
          <w:color w:val="222222"/>
          <w:sz w:val="20"/>
          <w:szCs w:val="20"/>
        </w:rPr>
        <w:t>.</w:t>
      </w:r>
    </w:p>
    <w:p w14:paraId="3181A7AC" w14:textId="77777777" w:rsidR="00D15F67" w:rsidRPr="00D15F67" w:rsidRDefault="00D15F67" w:rsidP="00D15F67">
      <w:pPr>
        <w:pStyle w:val="Prrafodelista"/>
        <w:rPr>
          <w:color w:val="222222"/>
          <w:sz w:val="20"/>
          <w:szCs w:val="20"/>
        </w:rPr>
      </w:pPr>
    </w:p>
    <w:p w14:paraId="1B233A56" w14:textId="1499F574" w:rsidR="00D15F67" w:rsidRDefault="00673F19" w:rsidP="00B56F07">
      <w:pPr>
        <w:tabs>
          <w:tab w:val="left" w:pos="3544"/>
        </w:tabs>
        <w:spacing w:line="276" w:lineRule="auto"/>
        <w:ind w:left="357"/>
        <w:contextualSpacing/>
        <w:jc w:val="both"/>
        <w:rPr>
          <w:color w:val="2F5496" w:themeColor="accent1" w:themeShade="BF"/>
          <w:sz w:val="20"/>
          <w:szCs w:val="20"/>
        </w:rPr>
      </w:pPr>
      <w:r w:rsidRPr="00965A58">
        <w:rPr>
          <w:color w:val="2F5496" w:themeColor="accent1" w:themeShade="BF"/>
          <w:sz w:val="20"/>
          <w:szCs w:val="20"/>
        </w:rPr>
        <w:t xml:space="preserve">No se requiere estudio geotécnico completo. </w:t>
      </w:r>
      <w:r w:rsidR="00965A58" w:rsidRPr="00965A58">
        <w:rPr>
          <w:color w:val="2F5496" w:themeColor="accent1" w:themeShade="BF"/>
          <w:sz w:val="20"/>
          <w:szCs w:val="20"/>
        </w:rPr>
        <w:t xml:space="preserve">Se considera un estudio geotécnico preliminar que incluye perfiles de suelo. </w:t>
      </w:r>
    </w:p>
    <w:p w14:paraId="48D87CDC" w14:textId="77777777" w:rsidR="00661F84" w:rsidRPr="00965A58" w:rsidRDefault="00661F84" w:rsidP="00661F84">
      <w:pPr>
        <w:tabs>
          <w:tab w:val="left" w:pos="3544"/>
        </w:tabs>
        <w:spacing w:line="276" w:lineRule="auto"/>
        <w:contextualSpacing/>
        <w:jc w:val="both"/>
        <w:rPr>
          <w:color w:val="2F5496" w:themeColor="accent1" w:themeShade="BF"/>
          <w:sz w:val="20"/>
          <w:szCs w:val="20"/>
        </w:rPr>
      </w:pPr>
    </w:p>
    <w:p w14:paraId="7FF0B270" w14:textId="77777777" w:rsidR="0088571C" w:rsidRPr="007E3854" w:rsidRDefault="0088571C" w:rsidP="007E3854">
      <w:pPr>
        <w:pStyle w:val="Prrafodelista"/>
        <w:numPr>
          <w:ilvl w:val="0"/>
          <w:numId w:val="14"/>
        </w:numPr>
        <w:spacing w:after="120" w:line="259" w:lineRule="auto"/>
        <w:ind w:left="714" w:hanging="357"/>
        <w:contextualSpacing/>
        <w:jc w:val="both"/>
        <w:rPr>
          <w:color w:val="222222"/>
          <w:sz w:val="20"/>
          <w:szCs w:val="20"/>
        </w:rPr>
      </w:pPr>
      <w:r w:rsidRPr="007E3854">
        <w:rPr>
          <w:color w:val="222222"/>
          <w:sz w:val="20"/>
          <w:szCs w:val="20"/>
        </w:rPr>
        <w:t>Solicitamos revisar el presupuesto de hasta $73.500.000 (impuestos incluidos), considerando que según la Resolución Exenta 2514/14-10-2024, el monto total asignado al proyecto “Investigación generación por microcentrales hidroeléctricas en la región de Aysén”, código BIP 40047172-0, es de M$143.474</w:t>
      </w:r>
    </w:p>
    <w:p w14:paraId="7BCD7378" w14:textId="77777777" w:rsidR="00410F7F" w:rsidRDefault="00410F7F" w:rsidP="006422A9">
      <w:pPr>
        <w:pStyle w:val="Prrafodelista"/>
        <w:tabs>
          <w:tab w:val="left" w:pos="3544"/>
        </w:tabs>
        <w:spacing w:line="276" w:lineRule="auto"/>
        <w:ind w:left="360"/>
        <w:contextualSpacing/>
        <w:jc w:val="both"/>
        <w:rPr>
          <w:b/>
          <w:bCs/>
          <w:color w:val="000000"/>
          <w:sz w:val="20"/>
          <w:szCs w:val="20"/>
        </w:rPr>
      </w:pPr>
    </w:p>
    <w:p w14:paraId="71E2E44E" w14:textId="4AC76542" w:rsidR="001F1714" w:rsidRPr="00D21981" w:rsidRDefault="001F1714" w:rsidP="00B56F07">
      <w:pPr>
        <w:spacing w:line="276" w:lineRule="auto"/>
        <w:ind w:left="357"/>
        <w:jc w:val="both"/>
        <w:rPr>
          <w:color w:val="2F5496" w:themeColor="accent1" w:themeShade="BF"/>
          <w:sz w:val="20"/>
          <w:szCs w:val="20"/>
        </w:rPr>
      </w:pPr>
      <w:r w:rsidRPr="00D21981">
        <w:rPr>
          <w:color w:val="2F5496" w:themeColor="accent1" w:themeShade="BF"/>
          <w:sz w:val="20"/>
          <w:szCs w:val="20"/>
        </w:rPr>
        <w:t xml:space="preserve">El estudio “Investigación generación por microcentrales hidroeléctricas en la región de Aysén”, código BIP 40047172-0, </w:t>
      </w:r>
      <w:r w:rsidR="00467990" w:rsidRPr="00D21981">
        <w:rPr>
          <w:color w:val="2F5496" w:themeColor="accent1" w:themeShade="BF"/>
          <w:sz w:val="20"/>
          <w:szCs w:val="20"/>
        </w:rPr>
        <w:t>abord</w:t>
      </w:r>
      <w:r w:rsidR="000601BC" w:rsidRPr="00D21981">
        <w:rPr>
          <w:color w:val="2F5496" w:themeColor="accent1" w:themeShade="BF"/>
          <w:sz w:val="20"/>
          <w:szCs w:val="20"/>
        </w:rPr>
        <w:t>ó</w:t>
      </w:r>
      <w:r w:rsidR="00467990" w:rsidRPr="00D21981">
        <w:rPr>
          <w:color w:val="2F5496" w:themeColor="accent1" w:themeShade="BF"/>
          <w:sz w:val="20"/>
          <w:szCs w:val="20"/>
        </w:rPr>
        <w:t xml:space="preserve"> el análisis</w:t>
      </w:r>
      <w:r w:rsidR="0043094E" w:rsidRPr="00D21981">
        <w:rPr>
          <w:color w:val="2F5496" w:themeColor="accent1" w:themeShade="BF"/>
          <w:sz w:val="20"/>
          <w:szCs w:val="20"/>
        </w:rPr>
        <w:t xml:space="preserve"> de 70 puntos</w:t>
      </w:r>
      <w:r w:rsidR="000601BC" w:rsidRPr="00D21981">
        <w:rPr>
          <w:color w:val="2F5496" w:themeColor="accent1" w:themeShade="BF"/>
          <w:sz w:val="20"/>
          <w:szCs w:val="20"/>
        </w:rPr>
        <w:t xml:space="preserve"> distribuidos a lo largo de los 3 sistemas medianos que existen en la región de Aysén. </w:t>
      </w:r>
      <w:r w:rsidR="006372D7" w:rsidRPr="00D21981">
        <w:rPr>
          <w:color w:val="2F5496" w:themeColor="accent1" w:themeShade="BF"/>
          <w:sz w:val="20"/>
          <w:szCs w:val="20"/>
        </w:rPr>
        <w:t xml:space="preserve">Luego de una inspección visual de cada uno de ellos (visita a terreno) </w:t>
      </w:r>
      <w:r w:rsidR="002F5F18" w:rsidRPr="00D21981">
        <w:rPr>
          <w:color w:val="2F5496" w:themeColor="accent1" w:themeShade="BF"/>
          <w:sz w:val="20"/>
          <w:szCs w:val="20"/>
        </w:rPr>
        <w:t>se seleccionaron 10 puntos para realizar aforos y diseños de ingeniería básica</w:t>
      </w:r>
      <w:r w:rsidR="00D21981" w:rsidRPr="00D21981">
        <w:rPr>
          <w:color w:val="2F5496" w:themeColor="accent1" w:themeShade="BF"/>
          <w:sz w:val="20"/>
          <w:szCs w:val="20"/>
        </w:rPr>
        <w:t xml:space="preserve">, </w:t>
      </w:r>
      <w:r w:rsidR="00FF5777">
        <w:rPr>
          <w:color w:val="2F5496" w:themeColor="accent1" w:themeShade="BF"/>
          <w:sz w:val="20"/>
          <w:szCs w:val="20"/>
        </w:rPr>
        <w:t xml:space="preserve">en un plazo de dos años. </w:t>
      </w:r>
    </w:p>
    <w:p w14:paraId="1C6F1BAF" w14:textId="77777777" w:rsidR="001F1714" w:rsidRPr="00D21981" w:rsidRDefault="001F1714" w:rsidP="00D21981">
      <w:p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</w:p>
    <w:p w14:paraId="573FD5B7" w14:textId="1525E33D" w:rsidR="00D127D9" w:rsidRDefault="0088571C" w:rsidP="0088571C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 w:rsidRPr="0088571C">
        <w:rPr>
          <w:b/>
          <w:bCs/>
          <w:color w:val="000000"/>
          <w:sz w:val="20"/>
          <w:szCs w:val="20"/>
        </w:rPr>
        <w:t>Reuniones y Coordinación</w:t>
      </w:r>
    </w:p>
    <w:p w14:paraId="38DE9735" w14:textId="03D050ED" w:rsidR="0088571C" w:rsidRDefault="0088571C" w:rsidP="007E3854">
      <w:pPr>
        <w:pStyle w:val="Prrafodelista"/>
        <w:numPr>
          <w:ilvl w:val="0"/>
          <w:numId w:val="14"/>
        </w:numPr>
        <w:tabs>
          <w:tab w:val="left" w:pos="3544"/>
        </w:tabs>
        <w:spacing w:after="120" w:line="276" w:lineRule="auto"/>
        <w:ind w:left="714" w:hanging="357"/>
        <w:contextualSpacing/>
        <w:jc w:val="both"/>
        <w:rPr>
          <w:color w:val="222222"/>
          <w:sz w:val="20"/>
          <w:szCs w:val="20"/>
        </w:rPr>
      </w:pPr>
      <w:r w:rsidRPr="00A37B64">
        <w:rPr>
          <w:color w:val="222222"/>
          <w:sz w:val="20"/>
          <w:szCs w:val="20"/>
        </w:rPr>
        <w:t>¿Las reuniones quincenales serán presenciales, virtuales o híbridas?</w:t>
      </w:r>
    </w:p>
    <w:p w14:paraId="394EE34A" w14:textId="77777777" w:rsidR="008E209E" w:rsidRPr="008E209E" w:rsidRDefault="008E209E" w:rsidP="008E209E">
      <w:pPr>
        <w:spacing w:line="276" w:lineRule="auto"/>
        <w:ind w:left="357"/>
        <w:jc w:val="both"/>
        <w:rPr>
          <w:color w:val="2F5496" w:themeColor="accent1" w:themeShade="BF"/>
          <w:sz w:val="20"/>
          <w:szCs w:val="20"/>
        </w:rPr>
      </w:pPr>
      <w:r w:rsidRPr="008E209E">
        <w:rPr>
          <w:color w:val="2F5496" w:themeColor="accent1" w:themeShade="BF"/>
          <w:sz w:val="20"/>
          <w:szCs w:val="20"/>
        </w:rPr>
        <w:t>Las reuniones quincenales pueden ser virtuales.</w:t>
      </w:r>
    </w:p>
    <w:p w14:paraId="18E767D2" w14:textId="77777777" w:rsidR="008E209E" w:rsidRDefault="008E209E" w:rsidP="008E209E">
      <w:pPr>
        <w:spacing w:line="276" w:lineRule="auto"/>
        <w:jc w:val="both"/>
        <w:rPr>
          <w:color w:val="000000"/>
          <w:sz w:val="20"/>
          <w:szCs w:val="20"/>
        </w:rPr>
      </w:pPr>
    </w:p>
    <w:p w14:paraId="1459851E" w14:textId="77777777" w:rsidR="0088571C" w:rsidRPr="00A37B64" w:rsidRDefault="0088571C" w:rsidP="007E3854">
      <w:pPr>
        <w:pStyle w:val="Prrafodelista"/>
        <w:numPr>
          <w:ilvl w:val="0"/>
          <w:numId w:val="14"/>
        </w:numPr>
        <w:tabs>
          <w:tab w:val="left" w:pos="3544"/>
        </w:tabs>
        <w:spacing w:after="120" w:line="276" w:lineRule="auto"/>
        <w:ind w:left="714" w:hanging="357"/>
        <w:contextualSpacing/>
        <w:jc w:val="both"/>
        <w:rPr>
          <w:color w:val="222222"/>
          <w:sz w:val="20"/>
          <w:szCs w:val="20"/>
        </w:rPr>
      </w:pPr>
      <w:r w:rsidRPr="00A37B64">
        <w:rPr>
          <w:color w:val="222222"/>
          <w:sz w:val="20"/>
          <w:szCs w:val="20"/>
        </w:rPr>
        <w:t xml:space="preserve">¿Se espera que el adjudicatario proponga una plataforma de seguimiento (Drive, </w:t>
      </w:r>
      <w:proofErr w:type="spellStart"/>
      <w:r w:rsidRPr="00A37B64">
        <w:rPr>
          <w:color w:val="222222"/>
          <w:sz w:val="20"/>
          <w:szCs w:val="20"/>
        </w:rPr>
        <w:t>Teams</w:t>
      </w:r>
      <w:proofErr w:type="spellEnd"/>
      <w:r w:rsidRPr="00A37B64">
        <w:rPr>
          <w:color w:val="222222"/>
          <w:sz w:val="20"/>
          <w:szCs w:val="20"/>
        </w:rPr>
        <w:t>, etc.)?</w:t>
      </w:r>
    </w:p>
    <w:p w14:paraId="1ED9D3C8" w14:textId="3EBE658B" w:rsidR="0088571C" w:rsidRPr="001D2DBE" w:rsidRDefault="007055F8" w:rsidP="00B56F07">
      <w:pPr>
        <w:tabs>
          <w:tab w:val="left" w:pos="3544"/>
        </w:tabs>
        <w:spacing w:line="276" w:lineRule="auto"/>
        <w:ind w:left="357"/>
        <w:contextualSpacing/>
        <w:rPr>
          <w:color w:val="2F5496" w:themeColor="accent1" w:themeShade="BF"/>
          <w:sz w:val="20"/>
          <w:szCs w:val="20"/>
        </w:rPr>
      </w:pPr>
      <w:r w:rsidRPr="001D2DBE">
        <w:rPr>
          <w:color w:val="2F5496" w:themeColor="accent1" w:themeShade="BF"/>
          <w:sz w:val="20"/>
          <w:szCs w:val="20"/>
        </w:rPr>
        <w:t>Si</w:t>
      </w:r>
      <w:r w:rsidR="001D2DBE">
        <w:rPr>
          <w:color w:val="2F5496" w:themeColor="accent1" w:themeShade="BF"/>
          <w:sz w:val="20"/>
          <w:szCs w:val="20"/>
        </w:rPr>
        <w:t xml:space="preserve">, al menos disponer </w:t>
      </w:r>
      <w:r w:rsidR="009B5F76">
        <w:rPr>
          <w:color w:val="2F5496" w:themeColor="accent1" w:themeShade="BF"/>
          <w:sz w:val="20"/>
          <w:szCs w:val="20"/>
        </w:rPr>
        <w:t xml:space="preserve">almacenamiento en plataformas virtuales, tales como </w:t>
      </w:r>
      <w:proofErr w:type="spellStart"/>
      <w:r w:rsidR="009B5F76">
        <w:rPr>
          <w:color w:val="2F5496" w:themeColor="accent1" w:themeShade="BF"/>
          <w:sz w:val="20"/>
          <w:szCs w:val="20"/>
        </w:rPr>
        <w:t>One</w:t>
      </w:r>
      <w:proofErr w:type="spellEnd"/>
      <w:r w:rsidR="009B5F76">
        <w:rPr>
          <w:color w:val="2F5496" w:themeColor="accent1" w:themeShade="BF"/>
          <w:sz w:val="20"/>
          <w:szCs w:val="20"/>
        </w:rPr>
        <w:t xml:space="preserve"> drive, Google drive.</w:t>
      </w:r>
    </w:p>
    <w:p w14:paraId="1E081326" w14:textId="77777777" w:rsidR="001D2DBE" w:rsidRDefault="001D2DBE" w:rsidP="0088571C">
      <w:p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</w:p>
    <w:p w14:paraId="1CDB852E" w14:textId="1BCFD940" w:rsidR="0088571C" w:rsidRDefault="0088571C" w:rsidP="0088571C">
      <w:pPr>
        <w:pStyle w:val="Prrafodelista"/>
        <w:numPr>
          <w:ilvl w:val="0"/>
          <w:numId w:val="12"/>
        </w:num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Plazos</w:t>
      </w:r>
    </w:p>
    <w:p w14:paraId="32734443" w14:textId="1770691B" w:rsidR="0088571C" w:rsidRPr="0088571C" w:rsidRDefault="0088571C" w:rsidP="007E3854">
      <w:pPr>
        <w:pStyle w:val="Prrafodelista"/>
        <w:numPr>
          <w:ilvl w:val="0"/>
          <w:numId w:val="14"/>
        </w:numPr>
        <w:tabs>
          <w:tab w:val="left" w:pos="3544"/>
        </w:tabs>
        <w:spacing w:after="120" w:line="276" w:lineRule="auto"/>
        <w:ind w:left="714" w:hanging="357"/>
        <w:contextualSpacing/>
        <w:jc w:val="both"/>
        <w:rPr>
          <w:b/>
          <w:bCs/>
          <w:color w:val="000000"/>
          <w:sz w:val="20"/>
          <w:szCs w:val="20"/>
        </w:rPr>
      </w:pPr>
      <w:r w:rsidRPr="00A37B64">
        <w:rPr>
          <w:color w:val="222222"/>
          <w:sz w:val="20"/>
          <w:szCs w:val="20"/>
        </w:rPr>
        <w:t>Solicitamos la posibilidad de ampliar plazo de entrega de oferta por 7 días hábiles.</w:t>
      </w:r>
    </w:p>
    <w:p w14:paraId="50433229" w14:textId="1B0827FC" w:rsidR="00742654" w:rsidRPr="00742654" w:rsidRDefault="00742654" w:rsidP="00742654">
      <w:pPr>
        <w:tabs>
          <w:tab w:val="left" w:pos="3544"/>
        </w:tabs>
        <w:spacing w:line="276" w:lineRule="auto"/>
        <w:ind w:firstLine="426"/>
        <w:contextualSpacing/>
        <w:rPr>
          <w:color w:val="2F5496" w:themeColor="accent1" w:themeShade="BF"/>
          <w:sz w:val="20"/>
          <w:szCs w:val="20"/>
        </w:rPr>
      </w:pPr>
      <w:r>
        <w:rPr>
          <w:color w:val="2F5496" w:themeColor="accent1" w:themeShade="BF"/>
          <w:sz w:val="20"/>
          <w:szCs w:val="20"/>
        </w:rPr>
        <w:t xml:space="preserve">No es posible una ampliación el en </w:t>
      </w:r>
      <w:proofErr w:type="spellStart"/>
      <w:r>
        <w:rPr>
          <w:color w:val="2F5496" w:themeColor="accent1" w:themeShade="BF"/>
          <w:sz w:val="20"/>
          <w:szCs w:val="20"/>
        </w:rPr>
        <w:t>plaxo</w:t>
      </w:r>
      <w:proofErr w:type="spellEnd"/>
      <w:r>
        <w:rPr>
          <w:color w:val="2F5496" w:themeColor="accent1" w:themeShade="BF"/>
          <w:sz w:val="20"/>
          <w:szCs w:val="20"/>
        </w:rPr>
        <w:t xml:space="preserve"> de licitación.</w:t>
      </w:r>
    </w:p>
    <w:p w14:paraId="1E9EDDB5" w14:textId="77777777" w:rsidR="0088571C" w:rsidRPr="0088571C" w:rsidRDefault="0088571C" w:rsidP="0088571C">
      <w:pPr>
        <w:tabs>
          <w:tab w:val="left" w:pos="3544"/>
        </w:tabs>
        <w:spacing w:line="276" w:lineRule="auto"/>
        <w:contextualSpacing/>
        <w:rPr>
          <w:b/>
          <w:bCs/>
          <w:color w:val="000000"/>
          <w:sz w:val="20"/>
          <w:szCs w:val="20"/>
        </w:rPr>
      </w:pPr>
    </w:p>
    <w:bookmarkEnd w:id="1"/>
    <w:p w14:paraId="2298B63C" w14:textId="77777777" w:rsidR="0016472F" w:rsidRPr="0016472F" w:rsidRDefault="0016472F" w:rsidP="00572DC0">
      <w:pPr>
        <w:spacing w:line="276" w:lineRule="auto"/>
        <w:contextualSpacing/>
        <w:jc w:val="center"/>
        <w:rPr>
          <w:sz w:val="22"/>
          <w:szCs w:val="22"/>
        </w:rPr>
      </w:pPr>
    </w:p>
    <w:p w14:paraId="5F2703B5" w14:textId="77777777" w:rsidR="0016472F" w:rsidRPr="0016472F" w:rsidRDefault="0016472F" w:rsidP="00572DC0">
      <w:pPr>
        <w:spacing w:line="276" w:lineRule="auto"/>
        <w:contextualSpacing/>
        <w:jc w:val="center"/>
        <w:rPr>
          <w:sz w:val="22"/>
          <w:szCs w:val="22"/>
        </w:rPr>
      </w:pPr>
    </w:p>
    <w:p w14:paraId="2BBE979E" w14:textId="77777777" w:rsidR="0016472F" w:rsidRDefault="0016472F" w:rsidP="00572DC0">
      <w:pPr>
        <w:spacing w:line="276" w:lineRule="auto"/>
        <w:contextualSpacing/>
        <w:jc w:val="center"/>
        <w:rPr>
          <w:sz w:val="22"/>
          <w:szCs w:val="22"/>
        </w:rPr>
      </w:pPr>
    </w:p>
    <w:p w14:paraId="1D30A4E3" w14:textId="77777777" w:rsidR="00C73C5E" w:rsidRDefault="00C73C5E" w:rsidP="00572DC0">
      <w:pPr>
        <w:spacing w:line="276" w:lineRule="auto"/>
        <w:contextualSpacing/>
        <w:jc w:val="center"/>
        <w:rPr>
          <w:sz w:val="22"/>
          <w:szCs w:val="22"/>
        </w:rPr>
      </w:pPr>
    </w:p>
    <w:p w14:paraId="51AAC139" w14:textId="77777777" w:rsidR="00C73C5E" w:rsidRPr="0016472F" w:rsidRDefault="00C73C5E" w:rsidP="00572DC0">
      <w:pPr>
        <w:spacing w:line="276" w:lineRule="auto"/>
        <w:contextualSpacing/>
        <w:jc w:val="center"/>
        <w:rPr>
          <w:sz w:val="22"/>
          <w:szCs w:val="22"/>
        </w:rPr>
      </w:pPr>
    </w:p>
    <w:p w14:paraId="3BBC9A08" w14:textId="56248442" w:rsidR="00572DC0" w:rsidRPr="008F3361" w:rsidRDefault="0016472F" w:rsidP="00572DC0">
      <w:pPr>
        <w:spacing w:line="276" w:lineRule="auto"/>
        <w:contextualSpacing/>
        <w:jc w:val="center"/>
        <w:rPr>
          <w:sz w:val="22"/>
          <w:szCs w:val="22"/>
        </w:rPr>
      </w:pPr>
      <w:bookmarkStart w:id="3" w:name="_Hlk140593154"/>
      <w:r w:rsidRPr="008F3361">
        <w:rPr>
          <w:sz w:val="22"/>
          <w:szCs w:val="22"/>
        </w:rPr>
        <w:t>Comisión Evaluadora</w:t>
      </w:r>
      <w:r w:rsidR="00572DC0" w:rsidRPr="008F3361">
        <w:rPr>
          <w:sz w:val="22"/>
          <w:szCs w:val="22"/>
        </w:rPr>
        <w:t xml:space="preserve"> </w:t>
      </w:r>
    </w:p>
    <w:p w14:paraId="29778092" w14:textId="77777777" w:rsidR="0016472F" w:rsidRPr="008F3361" w:rsidRDefault="0016472F" w:rsidP="0016472F">
      <w:pPr>
        <w:spacing w:line="276" w:lineRule="auto"/>
        <w:contextualSpacing/>
        <w:rPr>
          <w:sz w:val="22"/>
          <w:szCs w:val="22"/>
        </w:rPr>
      </w:pPr>
    </w:p>
    <w:p w14:paraId="46E1EE22" w14:textId="77777777" w:rsidR="0016472F" w:rsidRPr="008F3361" w:rsidRDefault="0016472F" w:rsidP="0016472F">
      <w:pPr>
        <w:spacing w:line="276" w:lineRule="auto"/>
        <w:contextualSpacing/>
        <w:rPr>
          <w:sz w:val="22"/>
          <w:szCs w:val="22"/>
        </w:rPr>
      </w:pPr>
    </w:p>
    <w:p w14:paraId="22315F5F" w14:textId="24F3A64E" w:rsidR="0016472F" w:rsidRDefault="0016472F" w:rsidP="00D6205F">
      <w:pPr>
        <w:spacing w:line="276" w:lineRule="auto"/>
        <w:contextualSpacing/>
        <w:jc w:val="both"/>
        <w:rPr>
          <w:sz w:val="22"/>
          <w:szCs w:val="22"/>
        </w:rPr>
      </w:pPr>
      <w:r w:rsidRPr="008F3361">
        <w:rPr>
          <w:sz w:val="22"/>
          <w:szCs w:val="22"/>
        </w:rPr>
        <w:t xml:space="preserve">Coyhaique, </w:t>
      </w:r>
      <w:r w:rsidR="00F65A97">
        <w:rPr>
          <w:sz w:val="22"/>
          <w:szCs w:val="22"/>
        </w:rPr>
        <w:t>18</w:t>
      </w:r>
      <w:r w:rsidRPr="008F3361">
        <w:rPr>
          <w:sz w:val="22"/>
          <w:szCs w:val="22"/>
        </w:rPr>
        <w:t xml:space="preserve"> de </w:t>
      </w:r>
      <w:r w:rsidR="00F65A97">
        <w:rPr>
          <w:sz w:val="22"/>
          <w:szCs w:val="22"/>
        </w:rPr>
        <w:t>agosto</w:t>
      </w:r>
      <w:r w:rsidRPr="008F3361">
        <w:rPr>
          <w:sz w:val="22"/>
          <w:szCs w:val="22"/>
        </w:rPr>
        <w:t xml:space="preserve"> de 202</w:t>
      </w:r>
      <w:bookmarkEnd w:id="3"/>
      <w:r w:rsidR="00F65A97">
        <w:rPr>
          <w:sz w:val="22"/>
          <w:szCs w:val="22"/>
        </w:rPr>
        <w:t>5</w:t>
      </w:r>
    </w:p>
    <w:p w14:paraId="106E47C0" w14:textId="77777777" w:rsidR="004E17C7" w:rsidRDefault="004E17C7" w:rsidP="00D6205F">
      <w:pPr>
        <w:spacing w:line="276" w:lineRule="auto"/>
        <w:contextualSpacing/>
        <w:jc w:val="both"/>
        <w:rPr>
          <w:sz w:val="22"/>
          <w:szCs w:val="22"/>
        </w:rPr>
      </w:pPr>
    </w:p>
    <w:p w14:paraId="72D09BEF" w14:textId="77777777" w:rsidR="004E17C7" w:rsidRPr="008F3361" w:rsidRDefault="004E17C7" w:rsidP="00D6205F">
      <w:pPr>
        <w:spacing w:line="276" w:lineRule="auto"/>
        <w:contextualSpacing/>
        <w:jc w:val="both"/>
        <w:rPr>
          <w:sz w:val="22"/>
          <w:szCs w:val="22"/>
        </w:rPr>
      </w:pPr>
    </w:p>
    <w:sectPr w:rsidR="004E17C7" w:rsidRPr="008F3361" w:rsidSect="0016472F">
      <w:footerReference w:type="default" r:id="rId11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C4A14" w14:textId="77777777" w:rsidR="00CA269F" w:rsidRDefault="00CA269F">
      <w:r>
        <w:separator/>
      </w:r>
    </w:p>
  </w:endnote>
  <w:endnote w:type="continuationSeparator" w:id="0">
    <w:p w14:paraId="142645C2" w14:textId="77777777" w:rsidR="00CA269F" w:rsidRDefault="00CA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211B5" w14:textId="77777777" w:rsidR="00DA095C" w:rsidRPr="009C3534" w:rsidRDefault="00DA095C" w:rsidP="00E82A29">
    <w:pPr>
      <w:pStyle w:val="Piedepgina"/>
      <w:jc w:val="right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BD7A5" w14:textId="77777777" w:rsidR="00CA269F" w:rsidRDefault="00CA269F">
      <w:r>
        <w:separator/>
      </w:r>
    </w:p>
  </w:footnote>
  <w:footnote w:type="continuationSeparator" w:id="0">
    <w:p w14:paraId="45CBC02F" w14:textId="77777777" w:rsidR="00CA269F" w:rsidRDefault="00CA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CF22F998"/>
    <w:lvl w:ilvl="0">
      <w:start w:val="1"/>
      <w:numFmt w:val="decimal"/>
      <w:pStyle w:val="Ttulo1"/>
      <w:lvlText w:val="%1"/>
      <w:legacy w:legacy="1" w:legacySpace="0" w:legacyIndent="0"/>
      <w:lvlJc w:val="left"/>
    </w:lvl>
    <w:lvl w:ilvl="1">
      <w:start w:val="1"/>
      <w:numFmt w:val="decimal"/>
      <w:pStyle w:val="Ttulo2"/>
      <w:lvlText w:val="%1.%2"/>
      <w:legacy w:legacy="1" w:legacySpace="0" w:legacyIndent="0"/>
      <w:lvlJc w:val="left"/>
    </w:lvl>
    <w:lvl w:ilvl="2">
      <w:start w:val="1"/>
      <w:numFmt w:val="decimal"/>
      <w:pStyle w:val="Ttulo3"/>
      <w:lvlText w:val="%1.%2.%3"/>
      <w:legacy w:legacy="1" w:legacySpace="0" w:legacyIndent="0"/>
      <w:lvlJc w:val="left"/>
      <w:rPr>
        <w:lang w:val="es-CL"/>
      </w:rPr>
    </w:lvl>
    <w:lvl w:ilvl="3">
      <w:start w:val="1"/>
      <w:numFmt w:val="decimal"/>
      <w:pStyle w:val="Ttulo4"/>
      <w:lvlText w:val="%1.%2.%3.%4"/>
      <w:legacy w:legacy="1" w:legacySpace="0" w:legacyIndent="0"/>
      <w:lvlJc w:val="left"/>
    </w:lvl>
    <w:lvl w:ilvl="4">
      <w:start w:val="1"/>
      <w:numFmt w:val="decimal"/>
      <w:pStyle w:val="Ttulo5"/>
      <w:lvlText w:val="%1.%2.%3.%4.%5"/>
      <w:legacy w:legacy="1" w:legacySpace="0" w:legacyIndent="0"/>
      <w:lvlJc w:val="left"/>
    </w:lvl>
    <w:lvl w:ilvl="5">
      <w:start w:val="1"/>
      <w:numFmt w:val="decimal"/>
      <w:pStyle w:val="Ttulo6"/>
      <w:lvlText w:val="%1.%2.%3.%4.%5.%6"/>
      <w:legacy w:legacy="1" w:legacySpace="0" w:legacyIndent="0"/>
      <w:lvlJc w:val="left"/>
    </w:lvl>
    <w:lvl w:ilvl="6">
      <w:start w:val="1"/>
      <w:numFmt w:val="decimal"/>
      <w:pStyle w:val="Ttulo7"/>
      <w:lvlText w:val="%1.%2.%3.%4.%5.%6.%7"/>
      <w:legacy w:legacy="1" w:legacySpace="0" w:legacyIndent="0"/>
      <w:lvlJc w:val="left"/>
    </w:lvl>
    <w:lvl w:ilvl="7">
      <w:start w:val="1"/>
      <w:numFmt w:val="decimal"/>
      <w:pStyle w:val="Ttulo8"/>
      <w:lvlText w:val="%1.%2.%3.%4.%5.%6.%7.%8"/>
      <w:legacy w:legacy="1" w:legacySpace="0" w:legacyIndent="0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03B5589"/>
    <w:multiLevelType w:val="hybridMultilevel"/>
    <w:tmpl w:val="556694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47FB2"/>
    <w:multiLevelType w:val="hybridMultilevel"/>
    <w:tmpl w:val="0C206AB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C72AA"/>
    <w:multiLevelType w:val="hybridMultilevel"/>
    <w:tmpl w:val="617EA57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F56DC"/>
    <w:multiLevelType w:val="hybridMultilevel"/>
    <w:tmpl w:val="3086E2F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67B0"/>
    <w:multiLevelType w:val="hybridMultilevel"/>
    <w:tmpl w:val="24180E4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805F3"/>
    <w:multiLevelType w:val="hybridMultilevel"/>
    <w:tmpl w:val="F7AAD8BA"/>
    <w:lvl w:ilvl="0" w:tplc="3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3FB126A9"/>
    <w:multiLevelType w:val="hybridMultilevel"/>
    <w:tmpl w:val="E506A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404B0"/>
    <w:multiLevelType w:val="multilevel"/>
    <w:tmpl w:val="2CFE6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B9005D"/>
    <w:multiLevelType w:val="hybridMultilevel"/>
    <w:tmpl w:val="E506A2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3BFEC840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453EB"/>
    <w:multiLevelType w:val="hybridMultilevel"/>
    <w:tmpl w:val="4CEEBA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624C2"/>
    <w:multiLevelType w:val="hybridMultilevel"/>
    <w:tmpl w:val="D15AE53C"/>
    <w:lvl w:ilvl="0" w:tplc="34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2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9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6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3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1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8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5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264" w:hanging="360"/>
      </w:pPr>
      <w:rPr>
        <w:rFonts w:ascii="Wingdings" w:hAnsi="Wingdings" w:hint="default"/>
      </w:rPr>
    </w:lvl>
  </w:abstractNum>
  <w:abstractNum w:abstractNumId="12" w15:restartNumberingAfterBreak="0">
    <w:nsid w:val="5B5A50A3"/>
    <w:multiLevelType w:val="hybridMultilevel"/>
    <w:tmpl w:val="7B40C7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B06EB"/>
    <w:multiLevelType w:val="multilevel"/>
    <w:tmpl w:val="2CFE6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185FBD"/>
    <w:multiLevelType w:val="hybridMultilevel"/>
    <w:tmpl w:val="8CA661E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86046C"/>
    <w:multiLevelType w:val="hybridMultilevel"/>
    <w:tmpl w:val="986AB6A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20733"/>
    <w:multiLevelType w:val="hybridMultilevel"/>
    <w:tmpl w:val="F40652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627D8"/>
    <w:multiLevelType w:val="hybridMultilevel"/>
    <w:tmpl w:val="6610C9E4"/>
    <w:lvl w:ilvl="0" w:tplc="FFFFFFFF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213155">
    <w:abstractNumId w:val="0"/>
  </w:num>
  <w:num w:numId="2" w16cid:durableId="1930038979">
    <w:abstractNumId w:val="11"/>
  </w:num>
  <w:num w:numId="3" w16cid:durableId="70547793">
    <w:abstractNumId w:val="15"/>
  </w:num>
  <w:num w:numId="4" w16cid:durableId="1766923834">
    <w:abstractNumId w:val="8"/>
  </w:num>
  <w:num w:numId="5" w16cid:durableId="706417157">
    <w:abstractNumId w:val="13"/>
  </w:num>
  <w:num w:numId="6" w16cid:durableId="1775855472">
    <w:abstractNumId w:val="4"/>
  </w:num>
  <w:num w:numId="7" w16cid:durableId="1657343463">
    <w:abstractNumId w:val="3"/>
  </w:num>
  <w:num w:numId="8" w16cid:durableId="428351187">
    <w:abstractNumId w:val="9"/>
  </w:num>
  <w:num w:numId="9" w16cid:durableId="1742865765">
    <w:abstractNumId w:val="7"/>
  </w:num>
  <w:num w:numId="10" w16cid:durableId="1097017969">
    <w:abstractNumId w:val="17"/>
  </w:num>
  <w:num w:numId="11" w16cid:durableId="93326040">
    <w:abstractNumId w:val="6"/>
  </w:num>
  <w:num w:numId="12" w16cid:durableId="90708054">
    <w:abstractNumId w:val="14"/>
  </w:num>
  <w:num w:numId="13" w16cid:durableId="1797261475">
    <w:abstractNumId w:val="16"/>
  </w:num>
  <w:num w:numId="14" w16cid:durableId="1417558793">
    <w:abstractNumId w:val="2"/>
  </w:num>
  <w:num w:numId="15" w16cid:durableId="1836653558">
    <w:abstractNumId w:val="12"/>
  </w:num>
  <w:num w:numId="16" w16cid:durableId="95445439">
    <w:abstractNumId w:val="5"/>
  </w:num>
  <w:num w:numId="17" w16cid:durableId="597182488">
    <w:abstractNumId w:val="1"/>
  </w:num>
  <w:num w:numId="18" w16cid:durableId="151588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DC0"/>
    <w:rsid w:val="00000D84"/>
    <w:rsid w:val="00007247"/>
    <w:rsid w:val="00041C7E"/>
    <w:rsid w:val="00045918"/>
    <w:rsid w:val="000601BC"/>
    <w:rsid w:val="00080DB9"/>
    <w:rsid w:val="00092445"/>
    <w:rsid w:val="00094827"/>
    <w:rsid w:val="000A0D1C"/>
    <w:rsid w:val="000A685D"/>
    <w:rsid w:val="000E5ED3"/>
    <w:rsid w:val="000F3AC4"/>
    <w:rsid w:val="00100EF8"/>
    <w:rsid w:val="001059EE"/>
    <w:rsid w:val="001077BB"/>
    <w:rsid w:val="001151B5"/>
    <w:rsid w:val="00123744"/>
    <w:rsid w:val="00125C2F"/>
    <w:rsid w:val="00136FBA"/>
    <w:rsid w:val="00141B18"/>
    <w:rsid w:val="0016472F"/>
    <w:rsid w:val="001671D1"/>
    <w:rsid w:val="00177DB0"/>
    <w:rsid w:val="00190CED"/>
    <w:rsid w:val="00193447"/>
    <w:rsid w:val="001A1224"/>
    <w:rsid w:val="001A3D58"/>
    <w:rsid w:val="001D2DBE"/>
    <w:rsid w:val="001D5DCF"/>
    <w:rsid w:val="001E16E6"/>
    <w:rsid w:val="001F1714"/>
    <w:rsid w:val="00211F7C"/>
    <w:rsid w:val="002247C2"/>
    <w:rsid w:val="002272A8"/>
    <w:rsid w:val="002665E3"/>
    <w:rsid w:val="00277BE9"/>
    <w:rsid w:val="00281F48"/>
    <w:rsid w:val="002B011C"/>
    <w:rsid w:val="002F5F18"/>
    <w:rsid w:val="0031144E"/>
    <w:rsid w:val="00347043"/>
    <w:rsid w:val="003529A1"/>
    <w:rsid w:val="00366A6F"/>
    <w:rsid w:val="00370D35"/>
    <w:rsid w:val="00374410"/>
    <w:rsid w:val="00380A64"/>
    <w:rsid w:val="0038186F"/>
    <w:rsid w:val="0039424E"/>
    <w:rsid w:val="003C2D2C"/>
    <w:rsid w:val="003E5B22"/>
    <w:rsid w:val="00403279"/>
    <w:rsid w:val="00405147"/>
    <w:rsid w:val="00410F7F"/>
    <w:rsid w:val="00411B1F"/>
    <w:rsid w:val="0042196A"/>
    <w:rsid w:val="0043094E"/>
    <w:rsid w:val="00433883"/>
    <w:rsid w:val="00466B53"/>
    <w:rsid w:val="00467990"/>
    <w:rsid w:val="00475EEF"/>
    <w:rsid w:val="004871BA"/>
    <w:rsid w:val="00495289"/>
    <w:rsid w:val="004976A7"/>
    <w:rsid w:val="004B0BF9"/>
    <w:rsid w:val="004B2240"/>
    <w:rsid w:val="004B52D9"/>
    <w:rsid w:val="004D4135"/>
    <w:rsid w:val="004E17C7"/>
    <w:rsid w:val="004E36AC"/>
    <w:rsid w:val="004F28F1"/>
    <w:rsid w:val="005105C8"/>
    <w:rsid w:val="00513879"/>
    <w:rsid w:val="00517FF9"/>
    <w:rsid w:val="0054028E"/>
    <w:rsid w:val="0054241F"/>
    <w:rsid w:val="005442C3"/>
    <w:rsid w:val="00550152"/>
    <w:rsid w:val="005713EC"/>
    <w:rsid w:val="00572DC0"/>
    <w:rsid w:val="00581C19"/>
    <w:rsid w:val="005A2305"/>
    <w:rsid w:val="005B08AD"/>
    <w:rsid w:val="005B4428"/>
    <w:rsid w:val="005B7C0A"/>
    <w:rsid w:val="005C22A4"/>
    <w:rsid w:val="005C711A"/>
    <w:rsid w:val="005D636B"/>
    <w:rsid w:val="00614426"/>
    <w:rsid w:val="00625E8B"/>
    <w:rsid w:val="006364DF"/>
    <w:rsid w:val="006372D7"/>
    <w:rsid w:val="006422A9"/>
    <w:rsid w:val="00646E7C"/>
    <w:rsid w:val="00661F84"/>
    <w:rsid w:val="00667B16"/>
    <w:rsid w:val="00673F19"/>
    <w:rsid w:val="006820EB"/>
    <w:rsid w:val="00683D63"/>
    <w:rsid w:val="00691516"/>
    <w:rsid w:val="006D2AD1"/>
    <w:rsid w:val="006D3EE1"/>
    <w:rsid w:val="006F239D"/>
    <w:rsid w:val="006F328F"/>
    <w:rsid w:val="007055F8"/>
    <w:rsid w:val="0070661D"/>
    <w:rsid w:val="00707C01"/>
    <w:rsid w:val="00742654"/>
    <w:rsid w:val="007454BC"/>
    <w:rsid w:val="00746CB3"/>
    <w:rsid w:val="00762E15"/>
    <w:rsid w:val="00764E4A"/>
    <w:rsid w:val="007673FB"/>
    <w:rsid w:val="00773A3B"/>
    <w:rsid w:val="00775904"/>
    <w:rsid w:val="00776A0A"/>
    <w:rsid w:val="00794EE7"/>
    <w:rsid w:val="00795ECA"/>
    <w:rsid w:val="007C2E50"/>
    <w:rsid w:val="007D387A"/>
    <w:rsid w:val="007E0DCA"/>
    <w:rsid w:val="007E3854"/>
    <w:rsid w:val="007F1C69"/>
    <w:rsid w:val="007F3DE2"/>
    <w:rsid w:val="007F428E"/>
    <w:rsid w:val="00817B0E"/>
    <w:rsid w:val="00823911"/>
    <w:rsid w:val="008311A5"/>
    <w:rsid w:val="0083600A"/>
    <w:rsid w:val="00837F6D"/>
    <w:rsid w:val="00841760"/>
    <w:rsid w:val="00846324"/>
    <w:rsid w:val="008463EC"/>
    <w:rsid w:val="00872210"/>
    <w:rsid w:val="00875718"/>
    <w:rsid w:val="00882337"/>
    <w:rsid w:val="0088571C"/>
    <w:rsid w:val="008950CA"/>
    <w:rsid w:val="00896899"/>
    <w:rsid w:val="008A4691"/>
    <w:rsid w:val="008B0FA8"/>
    <w:rsid w:val="008B5BCD"/>
    <w:rsid w:val="008C5E20"/>
    <w:rsid w:val="008D7ABA"/>
    <w:rsid w:val="008E209E"/>
    <w:rsid w:val="008E2432"/>
    <w:rsid w:val="008E379B"/>
    <w:rsid w:val="008E4254"/>
    <w:rsid w:val="008F3361"/>
    <w:rsid w:val="0094205F"/>
    <w:rsid w:val="00951828"/>
    <w:rsid w:val="00955914"/>
    <w:rsid w:val="00965A58"/>
    <w:rsid w:val="00966F1C"/>
    <w:rsid w:val="00974EB7"/>
    <w:rsid w:val="0099470D"/>
    <w:rsid w:val="00994C73"/>
    <w:rsid w:val="00995AAD"/>
    <w:rsid w:val="009B0054"/>
    <w:rsid w:val="009B221C"/>
    <w:rsid w:val="009B5F76"/>
    <w:rsid w:val="009B727B"/>
    <w:rsid w:val="009D17B3"/>
    <w:rsid w:val="009D278B"/>
    <w:rsid w:val="00A02D90"/>
    <w:rsid w:val="00A15D26"/>
    <w:rsid w:val="00A247CB"/>
    <w:rsid w:val="00A3120C"/>
    <w:rsid w:val="00A37B64"/>
    <w:rsid w:val="00A37F3A"/>
    <w:rsid w:val="00A408DA"/>
    <w:rsid w:val="00A459F4"/>
    <w:rsid w:val="00A53649"/>
    <w:rsid w:val="00A606F3"/>
    <w:rsid w:val="00A70EE2"/>
    <w:rsid w:val="00A72232"/>
    <w:rsid w:val="00A7266D"/>
    <w:rsid w:val="00A86DCF"/>
    <w:rsid w:val="00AA02DC"/>
    <w:rsid w:val="00AA04DE"/>
    <w:rsid w:val="00AA6E95"/>
    <w:rsid w:val="00AC4A43"/>
    <w:rsid w:val="00AF5049"/>
    <w:rsid w:val="00B02166"/>
    <w:rsid w:val="00B024B6"/>
    <w:rsid w:val="00B13E80"/>
    <w:rsid w:val="00B1536A"/>
    <w:rsid w:val="00B50641"/>
    <w:rsid w:val="00B56F07"/>
    <w:rsid w:val="00B66CC7"/>
    <w:rsid w:val="00B746E6"/>
    <w:rsid w:val="00B74E78"/>
    <w:rsid w:val="00B86121"/>
    <w:rsid w:val="00BA730C"/>
    <w:rsid w:val="00BA7641"/>
    <w:rsid w:val="00BC7B1C"/>
    <w:rsid w:val="00BD2076"/>
    <w:rsid w:val="00BE2FC9"/>
    <w:rsid w:val="00BF04F0"/>
    <w:rsid w:val="00BF2659"/>
    <w:rsid w:val="00C1140D"/>
    <w:rsid w:val="00C22B35"/>
    <w:rsid w:val="00C27035"/>
    <w:rsid w:val="00C434EC"/>
    <w:rsid w:val="00C73C5E"/>
    <w:rsid w:val="00C74C0A"/>
    <w:rsid w:val="00C75A78"/>
    <w:rsid w:val="00C81B86"/>
    <w:rsid w:val="00CA1EF3"/>
    <w:rsid w:val="00CA269F"/>
    <w:rsid w:val="00CB238F"/>
    <w:rsid w:val="00CB4373"/>
    <w:rsid w:val="00CE7474"/>
    <w:rsid w:val="00CF694F"/>
    <w:rsid w:val="00D107B1"/>
    <w:rsid w:val="00D127D9"/>
    <w:rsid w:val="00D15F67"/>
    <w:rsid w:val="00D21981"/>
    <w:rsid w:val="00D27D06"/>
    <w:rsid w:val="00D368E3"/>
    <w:rsid w:val="00D374F0"/>
    <w:rsid w:val="00D423CA"/>
    <w:rsid w:val="00D558DE"/>
    <w:rsid w:val="00D61385"/>
    <w:rsid w:val="00D6205F"/>
    <w:rsid w:val="00D75956"/>
    <w:rsid w:val="00D777D3"/>
    <w:rsid w:val="00DA095C"/>
    <w:rsid w:val="00DA0DBB"/>
    <w:rsid w:val="00DA0DC9"/>
    <w:rsid w:val="00DB3FE9"/>
    <w:rsid w:val="00DC7A91"/>
    <w:rsid w:val="00DD04D7"/>
    <w:rsid w:val="00DD5D72"/>
    <w:rsid w:val="00DD753F"/>
    <w:rsid w:val="00DD7828"/>
    <w:rsid w:val="00DE6375"/>
    <w:rsid w:val="00E07C33"/>
    <w:rsid w:val="00E259A0"/>
    <w:rsid w:val="00E27F23"/>
    <w:rsid w:val="00E30683"/>
    <w:rsid w:val="00E414A9"/>
    <w:rsid w:val="00E56E8A"/>
    <w:rsid w:val="00E80208"/>
    <w:rsid w:val="00E834AF"/>
    <w:rsid w:val="00E92707"/>
    <w:rsid w:val="00E935FF"/>
    <w:rsid w:val="00EB364B"/>
    <w:rsid w:val="00EC2151"/>
    <w:rsid w:val="00EC60D3"/>
    <w:rsid w:val="00ED540A"/>
    <w:rsid w:val="00ED6A92"/>
    <w:rsid w:val="00EE3A56"/>
    <w:rsid w:val="00F0130B"/>
    <w:rsid w:val="00F25756"/>
    <w:rsid w:val="00F25B07"/>
    <w:rsid w:val="00F35BB8"/>
    <w:rsid w:val="00F4352E"/>
    <w:rsid w:val="00F44580"/>
    <w:rsid w:val="00F501D6"/>
    <w:rsid w:val="00F56DFD"/>
    <w:rsid w:val="00F56F23"/>
    <w:rsid w:val="00F63BB6"/>
    <w:rsid w:val="00F65A97"/>
    <w:rsid w:val="00F74358"/>
    <w:rsid w:val="00F748D5"/>
    <w:rsid w:val="00F81E35"/>
    <w:rsid w:val="00F839C7"/>
    <w:rsid w:val="00F94CB8"/>
    <w:rsid w:val="00FA3A28"/>
    <w:rsid w:val="00FB27E9"/>
    <w:rsid w:val="00FD37C2"/>
    <w:rsid w:val="00FE6675"/>
    <w:rsid w:val="00FF10CF"/>
    <w:rsid w:val="00FF5777"/>
    <w:rsid w:val="00FF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85A4C"/>
  <w15:chartTrackingRefBased/>
  <w15:docId w15:val="{4971C1E2-B575-465C-B3D5-4F7DCD232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  <w:style w:type="paragraph" w:styleId="Ttulo1">
    <w:name w:val="heading 1"/>
    <w:aliases w:val="Part"/>
    <w:basedOn w:val="Normal"/>
    <w:next w:val="Normal"/>
    <w:link w:val="Ttulo1Car"/>
    <w:uiPriority w:val="1"/>
    <w:qFormat/>
    <w:rsid w:val="00572DC0"/>
    <w:pPr>
      <w:widowControl w:val="0"/>
      <w:numPr>
        <w:numId w:val="1"/>
      </w:numPr>
      <w:outlineLvl w:val="0"/>
    </w:pPr>
    <w:rPr>
      <w:rFonts w:ascii="Courier New" w:hAnsi="Courier New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1"/>
    <w:qFormat/>
    <w:rsid w:val="00572DC0"/>
    <w:pPr>
      <w:widowControl w:val="0"/>
      <w:numPr>
        <w:ilvl w:val="1"/>
        <w:numId w:val="1"/>
      </w:numPr>
      <w:outlineLvl w:val="1"/>
    </w:pPr>
    <w:rPr>
      <w:rFonts w:ascii="Courier New" w:hAnsi="Courier New"/>
      <w:szCs w:val="20"/>
      <w:lang w:val="es-ES_tradnl" w:eastAsia="es-ES"/>
    </w:rPr>
  </w:style>
  <w:style w:type="paragraph" w:styleId="Ttulo3">
    <w:name w:val="heading 3"/>
    <w:aliases w:val="Título nivel 3"/>
    <w:basedOn w:val="Normal"/>
    <w:next w:val="Normal"/>
    <w:link w:val="Ttulo3Car"/>
    <w:uiPriority w:val="9"/>
    <w:qFormat/>
    <w:rsid w:val="00572DC0"/>
    <w:pPr>
      <w:widowControl w:val="0"/>
      <w:numPr>
        <w:ilvl w:val="2"/>
        <w:numId w:val="1"/>
      </w:numPr>
      <w:outlineLvl w:val="2"/>
    </w:pPr>
    <w:rPr>
      <w:rFonts w:ascii="Courier New" w:hAnsi="Courier New"/>
      <w:szCs w:val="20"/>
      <w:lang w:val="es-ES_tradnl" w:eastAsia="es-ES"/>
    </w:rPr>
  </w:style>
  <w:style w:type="paragraph" w:styleId="Ttulo4">
    <w:name w:val="heading 4"/>
    <w:aliases w:val="Sub-Clause Sub-paragraph"/>
    <w:basedOn w:val="Normal"/>
    <w:next w:val="Normal"/>
    <w:link w:val="Ttulo4Car"/>
    <w:qFormat/>
    <w:rsid w:val="00572DC0"/>
    <w:pPr>
      <w:widowControl w:val="0"/>
      <w:numPr>
        <w:ilvl w:val="3"/>
        <w:numId w:val="1"/>
      </w:numPr>
      <w:outlineLvl w:val="3"/>
    </w:pPr>
    <w:rPr>
      <w:rFonts w:ascii="Courier New" w:hAnsi="Courier New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qFormat/>
    <w:rsid w:val="00572DC0"/>
    <w:pPr>
      <w:widowControl w:val="0"/>
      <w:numPr>
        <w:ilvl w:val="4"/>
        <w:numId w:val="1"/>
      </w:numPr>
      <w:outlineLvl w:val="4"/>
    </w:pPr>
    <w:rPr>
      <w:rFonts w:ascii="Courier New" w:hAnsi="Courier New"/>
      <w:szCs w:val="20"/>
      <w:lang w:val="es-ES_tradnl" w:eastAsia="es-ES"/>
    </w:rPr>
  </w:style>
  <w:style w:type="paragraph" w:styleId="Ttulo6">
    <w:name w:val="heading 6"/>
    <w:basedOn w:val="Normal"/>
    <w:next w:val="Normal"/>
    <w:link w:val="Ttulo6Car"/>
    <w:qFormat/>
    <w:rsid w:val="00572DC0"/>
    <w:pPr>
      <w:widowControl w:val="0"/>
      <w:numPr>
        <w:ilvl w:val="5"/>
        <w:numId w:val="1"/>
      </w:numPr>
      <w:outlineLvl w:val="5"/>
    </w:pPr>
    <w:rPr>
      <w:rFonts w:ascii="Courier New" w:hAnsi="Courier New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uiPriority w:val="9"/>
    <w:qFormat/>
    <w:rsid w:val="00572DC0"/>
    <w:pPr>
      <w:widowControl w:val="0"/>
      <w:numPr>
        <w:ilvl w:val="6"/>
        <w:numId w:val="1"/>
      </w:numPr>
      <w:outlineLvl w:val="6"/>
    </w:pPr>
    <w:rPr>
      <w:rFonts w:ascii="Courier New" w:hAnsi="Courier New"/>
      <w:szCs w:val="20"/>
      <w:lang w:val="es-ES_tradnl" w:eastAsia="es-ES"/>
    </w:rPr>
  </w:style>
  <w:style w:type="paragraph" w:styleId="Ttulo8">
    <w:name w:val="heading 8"/>
    <w:basedOn w:val="Normal"/>
    <w:next w:val="Normal"/>
    <w:link w:val="Ttulo8Car"/>
    <w:uiPriority w:val="9"/>
    <w:qFormat/>
    <w:rsid w:val="00572DC0"/>
    <w:pPr>
      <w:widowControl w:val="0"/>
      <w:numPr>
        <w:ilvl w:val="7"/>
        <w:numId w:val="1"/>
      </w:numPr>
      <w:outlineLvl w:val="7"/>
    </w:pPr>
    <w:rPr>
      <w:rFonts w:ascii="Courier New" w:hAnsi="Courier New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Part Car"/>
    <w:basedOn w:val="Fuentedeprrafopredeter"/>
    <w:link w:val="Ttulo1"/>
    <w:uiPriority w:val="1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1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3Car">
    <w:name w:val="Título 3 Car"/>
    <w:aliases w:val="Título nivel 3 Car"/>
    <w:basedOn w:val="Fuentedeprrafopredeter"/>
    <w:link w:val="Ttulo3"/>
    <w:uiPriority w:val="9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4Car">
    <w:name w:val="Título 4 Car"/>
    <w:aliases w:val="Sub-Clause Sub-paragraph Car"/>
    <w:basedOn w:val="Fuentedeprrafopredeter"/>
    <w:link w:val="Ttulo4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5Car">
    <w:name w:val="Título 5 Car"/>
    <w:basedOn w:val="Fuentedeprrafopredeter"/>
    <w:link w:val="Ttulo5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6Car">
    <w:name w:val="Título 6 Car"/>
    <w:basedOn w:val="Fuentedeprrafopredeter"/>
    <w:link w:val="Ttulo6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rsid w:val="00572DC0"/>
    <w:rPr>
      <w:rFonts w:ascii="Courier New" w:eastAsia="Times New Roman" w:hAnsi="Courier New" w:cs="Times New Roman"/>
      <w:kern w:val="0"/>
      <w:sz w:val="24"/>
      <w:szCs w:val="2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572DC0"/>
    <w:pPr>
      <w:tabs>
        <w:tab w:val="center" w:pos="4252"/>
        <w:tab w:val="right" w:pos="8504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72DC0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table" w:styleId="Tablaconcuadrcula">
    <w:name w:val="Table Grid"/>
    <w:basedOn w:val="Tablanormal"/>
    <w:uiPriority w:val="39"/>
    <w:rsid w:val="00572DC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C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aliases w:val=" Car,Car"/>
    <w:basedOn w:val="Normal"/>
    <w:link w:val="EncabezadoCar"/>
    <w:uiPriority w:val="99"/>
    <w:rsid w:val="00572D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 Car Car,Car Car"/>
    <w:basedOn w:val="Fuentedeprrafopredeter"/>
    <w:link w:val="Encabezado"/>
    <w:uiPriority w:val="99"/>
    <w:rsid w:val="00572DC0"/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  <w:style w:type="paragraph" w:styleId="Prrafodelista">
    <w:name w:val="List Paragraph"/>
    <w:basedOn w:val="Normal"/>
    <w:link w:val="PrrafodelistaCar"/>
    <w:uiPriority w:val="34"/>
    <w:qFormat/>
    <w:rsid w:val="00572DC0"/>
    <w:pPr>
      <w:ind w:left="708"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72DC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72DC0"/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572DC0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572DC0"/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  <w:style w:type="character" w:customStyle="1" w:styleId="PrrafodelistaCar">
    <w:name w:val="Párrafo de lista Car"/>
    <w:link w:val="Prrafodelista"/>
    <w:uiPriority w:val="34"/>
    <w:locked/>
    <w:rsid w:val="00572DC0"/>
    <w:rPr>
      <w:rFonts w:ascii="Times New Roman" w:eastAsia="Times New Roman" w:hAnsi="Times New Roman" w:cs="Times New Roman"/>
      <w:kern w:val="0"/>
      <w:sz w:val="24"/>
      <w:szCs w:val="24"/>
      <w:lang w:eastAsia="es-CL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529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529A1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529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76"/>
    <w:pPr>
      <w:spacing w:after="0"/>
    </w:pPr>
    <w:rPr>
      <w:rFonts w:ascii="Times New Roman" w:eastAsia="Times New Roman" w:hAnsi="Times New Roman" w:cs="Times New Roman"/>
      <w:b/>
      <w:bCs/>
      <w:kern w:val="0"/>
      <w:lang w:eastAsia="es-CL"/>
      <w14:ligatures w14:val="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76"/>
    <w:rPr>
      <w:rFonts w:ascii="Times New Roman" w:eastAsia="Times New Roman" w:hAnsi="Times New Roman" w:cs="Times New Roman"/>
      <w:b/>
      <w:bCs/>
      <w:kern w:val="0"/>
      <w:sz w:val="20"/>
      <w:szCs w:val="20"/>
      <w:lang w:eastAsia="es-C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48C366141414284C69DD58352E3B7" ma:contentTypeVersion="10" ma:contentTypeDescription="Create a new document." ma:contentTypeScope="" ma:versionID="3d9ad8d0f6760a4cb03fbe61e9490bd1">
  <xsd:schema xmlns:xsd="http://www.w3.org/2001/XMLSchema" xmlns:xs="http://www.w3.org/2001/XMLSchema" xmlns:p="http://schemas.microsoft.com/office/2006/metadata/properties" xmlns:ns3="c83ee7ac-1723-47e9-b59e-098c4e15320e" targetNamespace="http://schemas.microsoft.com/office/2006/metadata/properties" ma:root="true" ma:fieldsID="217213f352e2c8d5d4c461f460f37eb8" ns3:_="">
    <xsd:import namespace="c83ee7ac-1723-47e9-b59e-098c4e1532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ee7ac-1723-47e9-b59e-098c4e1532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F1C0D-1EC7-4589-8999-33B81B68E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3ee7ac-1723-47e9-b59e-098c4e1532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69ECCB-3927-4EE2-B80B-0D13D4EF43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D17086-4B20-467F-93E6-1C2F2BB2E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8454D5-77C8-420B-8DCF-B253FC3D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1263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Angélica Oyarzún</dc:creator>
  <cp:keywords/>
  <dc:description/>
  <cp:lastModifiedBy>Ramón Antiman Moreira</cp:lastModifiedBy>
  <cp:revision>3</cp:revision>
  <dcterms:created xsi:type="dcterms:W3CDTF">2025-08-18T22:02:00Z</dcterms:created>
  <dcterms:modified xsi:type="dcterms:W3CDTF">2025-08-19T13:30:00Z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0x010100A6648C366141414284C69DD58352E3B7</vt:lpwstr>
  </property>
</Properties>
</file>